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四川银行定开系列6个月7号净值型理财产品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481,331,448.00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10.10</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4,402,121.48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2,725,109.80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483,833,076.53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eastAsia="宋体"/>
                <w:lang w:val="en-US" w:eastAsia="zh-CN"/>
              </w:rPr>
            </w:pPr>
            <w:r>
              <w:rPr>
                <w:rFonts w:hint="eastAsia"/>
              </w:rPr>
              <w:t>1.101</w:t>
            </w: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483,833,076.53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1.1010</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414,871,971.76</w:t>
            </w:r>
          </w:p>
        </w:tc>
        <w:tc>
          <w:tcPr>
            <w:tcW w:w="1749" w:type="dxa"/>
            <w:shd w:val="clear" w:color="auto" w:fill="auto"/>
            <w:vAlign w:val="center"/>
          </w:tcPr>
          <w:p>
            <w:pPr>
              <w:jc w:val="right"/>
            </w:pPr>
            <w:r>
              <w:t>85.46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414,871,971.76</w:t>
            </w:r>
          </w:p>
        </w:tc>
        <w:tc>
          <w:tcPr>
            <w:tcW w:w="1749" w:type="dxa"/>
            <w:shd w:val="clear" w:color="auto" w:fill="auto"/>
            <w:vAlign w:val="center"/>
          </w:tcPr>
          <w:p>
            <w:pPr>
              <w:jc w:val="right"/>
            </w:pPr>
            <w:r>
              <w:t>85.46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50,012,045.28</w:t>
            </w:r>
          </w:p>
        </w:tc>
        <w:tc>
          <w:tcPr>
            <w:tcW w:w="1749" w:type="dxa"/>
            <w:shd w:val="clear" w:color="auto" w:fill="auto"/>
            <w:vAlign w:val="center"/>
          </w:tcPr>
          <w:p>
            <w:pPr>
              <w:jc w:val="right"/>
            </w:pPr>
            <w:r>
              <w:t>10.30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20,545,814.34</w:t>
            </w:r>
          </w:p>
        </w:tc>
        <w:tc>
          <w:tcPr>
            <w:tcW w:w="1749" w:type="dxa"/>
            <w:shd w:val="clear" w:color="auto" w:fill="auto"/>
            <w:vAlign w:val="center"/>
          </w:tcPr>
          <w:p>
            <w:pPr>
              <w:jc w:val="right"/>
            </w:pPr>
            <w:r>
              <w:t>4.23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51,546.99</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485,481,378.37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50,012,045.28</w:t>
            </w:r>
          </w:p>
        </w:tc>
        <w:tc>
          <w:tcPr>
            <w:tcW w:w="2431" w:type="dxa"/>
            <w:shd w:val="clear" w:color="auto" w:fill="auto"/>
            <w:vAlign w:val="center"/>
          </w:tcPr>
          <w:p>
            <w:pPr>
              <w:jc w:val="right"/>
            </w:pPr>
            <w:bookmarkStart w:id="3" w:name="OLE_LINK5"/>
            <w:bookmarkEnd w:id="3"/>
            <w:bookmarkStart w:id="4" w:name="OLE_LINK6"/>
            <w:bookmarkEnd w:id="4"/>
            <w:r>
              <w:rPr>
                <w:rFonts w:hint="eastAsia"/>
              </w:rPr>
              <w:t>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25渤海银行CD035</w:t>
            </w:r>
          </w:p>
        </w:tc>
        <w:tc>
          <w:tcPr>
            <w:tcW w:w="2693" w:type="dxa"/>
            <w:shd w:val="clear" w:color="auto" w:fill="auto"/>
            <w:vAlign w:val="center"/>
          </w:tcPr>
          <w:p>
            <w:pPr>
              <w:ind w:hanging="1"/>
              <w:jc w:val="right"/>
            </w:pPr>
            <w:r>
              <w:rPr>
                <w:b w:val="0"/>
                <w:i w:val="0"/>
                <w:strike w:val="0"/>
                <w:u w:val="none"/>
              </w:rPr>
              <w:t>39,954,407.11</w:t>
            </w:r>
          </w:p>
        </w:tc>
        <w:tc>
          <w:tcPr>
            <w:tcW w:w="2431" w:type="dxa"/>
            <w:shd w:val="clear" w:color="auto" w:fill="auto"/>
            <w:vAlign w:val="center"/>
          </w:tcPr>
          <w:p>
            <w:pPr>
              <w:ind w:hanging="1"/>
              <w:jc w:val="right"/>
            </w:pPr>
            <w:r>
              <w:rPr>
                <w:b w:val="0"/>
                <w:i w:val="0"/>
                <w:strike w:val="0"/>
                <w:u w:val="none"/>
              </w:rPr>
              <w:t>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24新疆银行CD043</w:t>
            </w:r>
          </w:p>
        </w:tc>
        <w:tc>
          <w:tcPr>
            <w:tcW w:w="2693" w:type="dxa"/>
            <w:shd w:val="clear" w:color="auto" w:fill="auto"/>
            <w:vAlign w:val="center"/>
          </w:tcPr>
          <w:p>
            <w:pPr>
              <w:ind w:hanging="1"/>
              <w:jc w:val="right"/>
            </w:pPr>
            <w:r>
              <w:rPr>
                <w:b w:val="0"/>
                <w:i w:val="0"/>
                <w:strike w:val="0"/>
                <w:u w:val="none"/>
              </w:rPr>
              <w:t>39,863,599.34</w:t>
            </w:r>
          </w:p>
        </w:tc>
        <w:tc>
          <w:tcPr>
            <w:tcW w:w="2431" w:type="dxa"/>
            <w:shd w:val="clear" w:color="auto" w:fill="auto"/>
            <w:vAlign w:val="center"/>
          </w:tcPr>
          <w:p>
            <w:pPr>
              <w:ind w:hanging="1"/>
              <w:jc w:val="right"/>
            </w:pPr>
            <w:r>
              <w:rPr>
                <w:b w:val="0"/>
                <w:i w:val="0"/>
                <w:strike w:val="0"/>
                <w:u w:val="none"/>
              </w:rPr>
              <w:t>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24珠海华润银行CD052</w:t>
            </w:r>
          </w:p>
        </w:tc>
        <w:tc>
          <w:tcPr>
            <w:tcW w:w="2693" w:type="dxa"/>
            <w:shd w:val="clear" w:color="auto" w:fill="auto"/>
            <w:vAlign w:val="center"/>
          </w:tcPr>
          <w:p>
            <w:pPr>
              <w:ind w:hanging="1"/>
              <w:jc w:val="right"/>
            </w:pPr>
            <w:r>
              <w:rPr>
                <w:b w:val="0"/>
                <w:i w:val="0"/>
                <w:strike w:val="0"/>
                <w:u w:val="none"/>
              </w:rPr>
              <w:t>29,963,158.03</w:t>
            </w:r>
          </w:p>
        </w:tc>
        <w:tc>
          <w:tcPr>
            <w:tcW w:w="2431" w:type="dxa"/>
            <w:shd w:val="clear" w:color="auto" w:fill="auto"/>
            <w:vAlign w:val="center"/>
          </w:tcPr>
          <w:p>
            <w:pPr>
              <w:ind w:hanging="1"/>
              <w:jc w:val="right"/>
            </w:pPr>
            <w:r>
              <w:rPr>
                <w:b w:val="0"/>
                <w:i w:val="0"/>
                <w:strike w:val="0"/>
                <w:u w:val="none"/>
              </w:rPr>
              <w:t>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24富滇银行CD098</w:t>
            </w:r>
          </w:p>
        </w:tc>
        <w:tc>
          <w:tcPr>
            <w:tcW w:w="2693" w:type="dxa"/>
            <w:shd w:val="clear" w:color="auto" w:fill="auto"/>
            <w:vAlign w:val="center"/>
          </w:tcPr>
          <w:p>
            <w:pPr>
              <w:ind w:hanging="1"/>
              <w:jc w:val="right"/>
            </w:pPr>
            <w:r>
              <w:rPr>
                <w:b w:val="0"/>
                <w:i w:val="0"/>
                <w:strike w:val="0"/>
                <w:u w:val="none"/>
              </w:rPr>
              <w:t>29,873,725.89</w:t>
            </w:r>
          </w:p>
        </w:tc>
        <w:tc>
          <w:tcPr>
            <w:tcW w:w="2431" w:type="dxa"/>
            <w:shd w:val="clear" w:color="auto" w:fill="auto"/>
            <w:vAlign w:val="center"/>
          </w:tcPr>
          <w:p>
            <w:pPr>
              <w:ind w:hanging="1"/>
              <w:jc w:val="right"/>
            </w:pPr>
            <w:r>
              <w:rPr>
                <w:b w:val="0"/>
                <w:i w:val="0"/>
                <w:strike w:val="0"/>
                <w:u w:val="none"/>
              </w:rPr>
              <w:t>6.17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24兴蜀投资MTN001</w:t>
            </w:r>
          </w:p>
        </w:tc>
        <w:tc>
          <w:tcPr>
            <w:tcW w:w="2693" w:type="dxa"/>
            <w:shd w:val="clear" w:color="auto" w:fill="auto"/>
            <w:vAlign w:val="center"/>
          </w:tcPr>
          <w:p>
            <w:pPr>
              <w:ind w:hanging="1"/>
              <w:jc w:val="right"/>
            </w:pPr>
            <w:r>
              <w:rPr>
                <w:b w:val="0"/>
                <w:i w:val="0"/>
                <w:strike w:val="0"/>
                <w:u w:val="none"/>
              </w:rPr>
              <w:t>20,944,142.47</w:t>
            </w:r>
          </w:p>
        </w:tc>
        <w:tc>
          <w:tcPr>
            <w:tcW w:w="2431" w:type="dxa"/>
            <w:shd w:val="clear" w:color="auto" w:fill="auto"/>
            <w:vAlign w:val="center"/>
          </w:tcPr>
          <w:p>
            <w:pPr>
              <w:ind w:hanging="1"/>
              <w:jc w:val="right"/>
            </w:pPr>
            <w:r>
              <w:rPr>
                <w:b w:val="0"/>
                <w:i w:val="0"/>
                <w:strike w:val="0"/>
                <w:u w:val="none"/>
              </w:rP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24龙阳天府PPN002</w:t>
            </w:r>
          </w:p>
        </w:tc>
        <w:tc>
          <w:tcPr>
            <w:tcW w:w="2693" w:type="dxa"/>
            <w:shd w:val="clear" w:color="auto" w:fill="auto"/>
            <w:vAlign w:val="center"/>
          </w:tcPr>
          <w:p>
            <w:pPr>
              <w:ind w:hanging="1"/>
              <w:jc w:val="right"/>
            </w:pPr>
            <w:r>
              <w:rPr>
                <w:b w:val="0"/>
                <w:i w:val="0"/>
                <w:strike w:val="0"/>
                <w:u w:val="none"/>
              </w:rPr>
              <w:t>20,926,487.67</w:t>
            </w:r>
          </w:p>
        </w:tc>
        <w:tc>
          <w:tcPr>
            <w:tcW w:w="2431" w:type="dxa"/>
            <w:shd w:val="clear" w:color="auto" w:fill="auto"/>
            <w:vAlign w:val="center"/>
          </w:tcPr>
          <w:p>
            <w:pPr>
              <w:ind w:hanging="1"/>
              <w:jc w:val="right"/>
            </w:pPr>
            <w:r>
              <w:rPr>
                <w:b w:val="0"/>
                <w:i w:val="0"/>
                <w:strike w:val="0"/>
                <w:u w:val="none"/>
              </w:rP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24香发01</w:t>
            </w:r>
          </w:p>
        </w:tc>
        <w:tc>
          <w:tcPr>
            <w:tcW w:w="2693" w:type="dxa"/>
            <w:shd w:val="clear" w:color="auto" w:fill="auto"/>
            <w:vAlign w:val="center"/>
          </w:tcPr>
          <w:p>
            <w:pPr>
              <w:ind w:hanging="1"/>
              <w:jc w:val="right"/>
            </w:pPr>
            <w:r>
              <w:rPr>
                <w:b w:val="0"/>
                <w:i w:val="0"/>
                <w:strike w:val="0"/>
                <w:u w:val="none"/>
              </w:rPr>
              <w:t>20,671,232.88</w:t>
            </w:r>
          </w:p>
        </w:tc>
        <w:tc>
          <w:tcPr>
            <w:tcW w:w="2431" w:type="dxa"/>
            <w:shd w:val="clear" w:color="auto" w:fill="auto"/>
            <w:vAlign w:val="center"/>
          </w:tcPr>
          <w:p>
            <w:pPr>
              <w:ind w:hanging="1"/>
              <w:jc w:val="right"/>
            </w:pPr>
            <w:r>
              <w:rPr>
                <w:b w:val="0"/>
                <w:i w:val="0"/>
                <w:strike w:val="0"/>
                <w:u w:val="none"/>
              </w:rPr>
              <w:t>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24南充发展PPN001</w:t>
            </w:r>
          </w:p>
        </w:tc>
        <w:tc>
          <w:tcPr>
            <w:tcW w:w="2693" w:type="dxa"/>
            <w:shd w:val="clear" w:color="auto" w:fill="auto"/>
            <w:vAlign w:val="center"/>
          </w:tcPr>
          <w:p>
            <w:pPr>
              <w:ind w:hanging="1"/>
              <w:jc w:val="right"/>
            </w:pPr>
            <w:r>
              <w:rPr>
                <w:b w:val="0"/>
                <w:i w:val="0"/>
                <w:strike w:val="0"/>
                <w:u w:val="none"/>
              </w:rPr>
              <w:t>20,592,230.14</w:t>
            </w:r>
          </w:p>
        </w:tc>
        <w:tc>
          <w:tcPr>
            <w:tcW w:w="2431" w:type="dxa"/>
            <w:shd w:val="clear" w:color="auto" w:fill="auto"/>
            <w:vAlign w:val="center"/>
          </w:tcPr>
          <w:p>
            <w:pPr>
              <w:ind w:hanging="1"/>
              <w:jc w:val="right"/>
            </w:pPr>
            <w:r>
              <w:rPr>
                <w:b w:val="0"/>
                <w:i w:val="0"/>
                <w:strike w:val="0"/>
                <w:u w:val="none"/>
              </w:rPr>
              <w:t>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22攀钢02</w:t>
            </w:r>
          </w:p>
        </w:tc>
        <w:tc>
          <w:tcPr>
            <w:tcW w:w="2693" w:type="dxa"/>
            <w:shd w:val="clear" w:color="auto" w:fill="auto"/>
            <w:vAlign w:val="center"/>
          </w:tcPr>
          <w:p>
            <w:pPr>
              <w:ind w:hanging="1"/>
              <w:jc w:val="right"/>
            </w:pPr>
            <w:r>
              <w:rPr>
                <w:b w:val="0"/>
                <w:i w:val="0"/>
                <w:strike w:val="0"/>
                <w:u w:val="none"/>
              </w:rPr>
              <w:t>20,558,482.19</w:t>
            </w:r>
          </w:p>
        </w:tc>
        <w:tc>
          <w:tcPr>
            <w:tcW w:w="2431" w:type="dxa"/>
            <w:shd w:val="clear" w:color="auto" w:fill="auto"/>
            <w:vAlign w:val="center"/>
          </w:tcPr>
          <w:p>
            <w:pPr>
              <w:ind w:hanging="1"/>
              <w:jc w:val="right"/>
            </w:pPr>
            <w:r>
              <w:rPr>
                <w:b w:val="0"/>
                <w:i w:val="0"/>
                <w:strike w:val="0"/>
                <w:u w:val="none"/>
              </w:rPr>
              <w:t>4.25</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宋体" w:hAnsi="宋体" w:eastAsia="宋体" w:cs="Times New Roman"/>
          <w:szCs w:val="21"/>
        </w:rPr>
        <w:t>本报告期末，本产品投资的22凉山发展MTN001属于关联交易。</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B106AB4"/>
    <w:rsid w:val="1DD13355"/>
    <w:rsid w:val="1F246194"/>
    <w:rsid w:val="21AF23DE"/>
    <w:rsid w:val="250932D9"/>
    <w:rsid w:val="30D863E3"/>
    <w:rsid w:val="35706056"/>
    <w:rsid w:val="35844C1F"/>
    <w:rsid w:val="378A66D0"/>
    <w:rsid w:val="3CB03E51"/>
    <w:rsid w:val="46050EA9"/>
    <w:rsid w:val="49D862C5"/>
    <w:rsid w:val="4B474E5A"/>
    <w:rsid w:val="51E06E0A"/>
    <w:rsid w:val="53167101"/>
    <w:rsid w:val="5B5FA6DC"/>
    <w:rsid w:val="63BE4DA7"/>
    <w:rsid w:val="6C0B2233"/>
    <w:rsid w:val="6CB6511A"/>
    <w:rsid w:val="70F57064"/>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daiyuran</cp:lastModifiedBy>
  <cp:lastPrinted>2411-12-31T00:00:00Z</cp:lastPrinted>
  <dcterms:modified xsi:type="dcterms:W3CDTF">2025-04-16T09:20:57Z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