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四川银行定开系列6个月6号净值型理财产品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639,106,000.00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10.69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5,370,208.02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3,865,779.45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642,818,168.09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642,818,168.09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1.1069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562,399,046.17</w:t>
            </w:r>
          </w:p>
        </w:tc>
        <w:tc>
          <w:tcPr>
            <w:tcW w:w="1749" w:type="dxa"/>
            <w:shd w:val="clear" w:color="auto" w:fill="auto"/>
            <w:vAlign w:val="center"/>
          </w:tcPr>
          <w:p>
            <w:pPr>
              <w:jc w:val="right"/>
            </w:pPr>
            <w:r>
              <w:t>87.22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547,848,069.43</w:t>
            </w:r>
          </w:p>
        </w:tc>
        <w:tc>
          <w:tcPr>
            <w:tcW w:w="1749" w:type="dxa"/>
            <w:shd w:val="clear" w:color="auto" w:fill="auto"/>
            <w:vAlign w:val="center"/>
          </w:tcPr>
          <w:p>
            <w:pPr>
              <w:jc w:val="right"/>
            </w:pPr>
            <w:r>
              <w:t>84.97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14,550,976.74</w:t>
            </w:r>
          </w:p>
        </w:tc>
        <w:tc>
          <w:tcPr>
            <w:tcW w:w="1749" w:type="dxa"/>
            <w:shd w:val="clear" w:color="auto" w:fill="auto"/>
            <w:vAlign w:val="center"/>
          </w:tcPr>
          <w:p>
            <w:pPr>
              <w:jc w:val="right"/>
            </w:pPr>
            <w:r>
              <w:t>2.26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50,012,045.28</w:t>
            </w:r>
          </w:p>
        </w:tc>
        <w:tc>
          <w:tcPr>
            <w:tcW w:w="1749" w:type="dxa"/>
            <w:shd w:val="clear" w:color="auto" w:fill="auto"/>
            <w:vAlign w:val="center"/>
          </w:tcPr>
          <w:p>
            <w:pPr>
              <w:jc w:val="right"/>
            </w:pPr>
            <w:r>
              <w:t>7.76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31,486,036.99</w:t>
            </w:r>
          </w:p>
        </w:tc>
        <w:tc>
          <w:tcPr>
            <w:tcW w:w="1749" w:type="dxa"/>
            <w:shd w:val="clear" w:color="auto" w:fill="auto"/>
            <w:vAlign w:val="center"/>
          </w:tcPr>
          <w:p>
            <w:pPr>
              <w:jc w:val="right"/>
            </w:pPr>
            <w:r>
              <w:t>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880,274.83</w:t>
            </w:r>
          </w:p>
        </w:tc>
        <w:tc>
          <w:tcPr>
            <w:tcW w:w="1749" w:type="dxa"/>
            <w:shd w:val="clear" w:color="auto" w:fill="auto"/>
            <w:vAlign w:val="center"/>
          </w:tcPr>
          <w:p>
            <w:pPr>
              <w:jc w:val="right"/>
            </w:pPr>
            <w:r>
              <w:t>0.14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644,777,403.27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50,012,045.28</w:t>
            </w:r>
          </w:p>
        </w:tc>
        <w:tc>
          <w:tcPr>
            <w:tcW w:w="2431" w:type="dxa"/>
            <w:shd w:val="clear" w:color="auto" w:fill="auto"/>
            <w:vAlign w:val="center"/>
          </w:tcPr>
          <w:p>
            <w:pPr>
              <w:jc w:val="right"/>
            </w:pPr>
            <w:bookmarkStart w:id="3" w:name="OLE_LINK6"/>
            <w:bookmarkEnd w:id="3"/>
            <w:bookmarkStart w:id="4" w:name="OLE_LINK5"/>
            <w:bookmarkEnd w:id="4"/>
            <w:r>
              <w:rPr>
                <w:rFonts w:hint="eastAsia"/>
              </w:rPr>
              <w:t>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24厦门国际银行CD099</w:t>
            </w:r>
          </w:p>
        </w:tc>
        <w:tc>
          <w:tcPr>
            <w:tcW w:w="2693" w:type="dxa"/>
            <w:shd w:val="clear" w:color="auto" w:fill="auto"/>
            <w:vAlign w:val="center"/>
          </w:tcPr>
          <w:p>
            <w:pPr>
              <w:ind w:hanging="1"/>
              <w:jc w:val="right"/>
            </w:pPr>
            <w:r>
              <w:rPr>
                <w:b w:val="0"/>
                <w:i w:val="0"/>
                <w:strike w:val="0"/>
                <w:u w:val="none"/>
              </w:rPr>
              <w:t>49,904,470.96</w:t>
            </w:r>
          </w:p>
        </w:tc>
        <w:tc>
          <w:tcPr>
            <w:tcW w:w="2431" w:type="dxa"/>
            <w:shd w:val="clear" w:color="auto" w:fill="auto"/>
            <w:vAlign w:val="center"/>
          </w:tcPr>
          <w:p>
            <w:pPr>
              <w:ind w:hanging="1"/>
              <w:jc w:val="right"/>
            </w:pPr>
            <w:r>
              <w:rPr>
                <w:b w:val="0"/>
                <w:i w:val="0"/>
                <w:strike w:val="0"/>
                <w:u w:val="none"/>
              </w:rPr>
              <w:t>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24兰州银行CD084</w:t>
            </w:r>
          </w:p>
        </w:tc>
        <w:tc>
          <w:tcPr>
            <w:tcW w:w="2693" w:type="dxa"/>
            <w:shd w:val="clear" w:color="auto" w:fill="auto"/>
            <w:vAlign w:val="center"/>
          </w:tcPr>
          <w:p>
            <w:pPr>
              <w:ind w:hanging="1"/>
              <w:jc w:val="right"/>
            </w:pPr>
            <w:r>
              <w:rPr>
                <w:b w:val="0"/>
                <w:i w:val="0"/>
                <w:strike w:val="0"/>
                <w:u w:val="none"/>
              </w:rPr>
              <w:t>49,881,554.25</w:t>
            </w:r>
          </w:p>
        </w:tc>
        <w:tc>
          <w:tcPr>
            <w:tcW w:w="2431" w:type="dxa"/>
            <w:shd w:val="clear" w:color="auto" w:fill="auto"/>
            <w:vAlign w:val="center"/>
          </w:tcPr>
          <w:p>
            <w:pPr>
              <w:ind w:hanging="1"/>
              <w:jc w:val="right"/>
            </w:pPr>
            <w:r>
              <w:rPr>
                <w:b w:val="0"/>
                <w:i w:val="0"/>
                <w:strike w:val="0"/>
                <w:u w:val="none"/>
              </w:rPr>
              <w:t>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25秦农农商银行CD077</w:t>
            </w:r>
          </w:p>
        </w:tc>
        <w:tc>
          <w:tcPr>
            <w:tcW w:w="2693" w:type="dxa"/>
            <w:shd w:val="clear" w:color="auto" w:fill="auto"/>
            <w:vAlign w:val="center"/>
          </w:tcPr>
          <w:p>
            <w:pPr>
              <w:ind w:hanging="1"/>
              <w:jc w:val="right"/>
            </w:pPr>
            <w:r>
              <w:rPr>
                <w:b w:val="0"/>
                <w:i w:val="0"/>
                <w:strike w:val="0"/>
                <w:u w:val="none"/>
              </w:rPr>
              <w:t>39,950,549.68</w:t>
            </w:r>
          </w:p>
        </w:tc>
        <w:tc>
          <w:tcPr>
            <w:tcW w:w="2431" w:type="dxa"/>
            <w:shd w:val="clear" w:color="auto" w:fill="auto"/>
            <w:vAlign w:val="center"/>
          </w:tcPr>
          <w:p>
            <w:pPr>
              <w:ind w:hanging="1"/>
              <w:jc w:val="right"/>
            </w:pPr>
            <w:r>
              <w:rPr>
                <w:b w:val="0"/>
                <w:i w:val="0"/>
                <w:strike w:val="0"/>
                <w:u w:val="none"/>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24绵阳投资MTN001B</w:t>
            </w:r>
          </w:p>
        </w:tc>
        <w:tc>
          <w:tcPr>
            <w:tcW w:w="2693" w:type="dxa"/>
            <w:shd w:val="clear" w:color="auto" w:fill="auto"/>
            <w:vAlign w:val="center"/>
          </w:tcPr>
          <w:p>
            <w:pPr>
              <w:ind w:hanging="1"/>
              <w:jc w:val="right"/>
            </w:pPr>
            <w:r>
              <w:rPr>
                <w:b w:val="0"/>
                <w:i w:val="0"/>
                <w:strike w:val="0"/>
                <w:u w:val="none"/>
              </w:rPr>
              <w:t>31,911,558.90</w:t>
            </w:r>
          </w:p>
        </w:tc>
        <w:tc>
          <w:tcPr>
            <w:tcW w:w="2431" w:type="dxa"/>
            <w:shd w:val="clear" w:color="auto" w:fill="auto"/>
            <w:vAlign w:val="center"/>
          </w:tcPr>
          <w:p>
            <w:pPr>
              <w:ind w:hanging="1"/>
              <w:jc w:val="right"/>
            </w:pPr>
            <w:r>
              <w:rPr>
                <w:b w:val="0"/>
                <w:i w:val="0"/>
                <w:strike w:val="0"/>
                <w:u w:val="none"/>
              </w:rPr>
              <w:t>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24新津城乡MTN001B</w:t>
            </w:r>
          </w:p>
        </w:tc>
        <w:tc>
          <w:tcPr>
            <w:tcW w:w="2693" w:type="dxa"/>
            <w:shd w:val="clear" w:color="auto" w:fill="auto"/>
            <w:vAlign w:val="center"/>
          </w:tcPr>
          <w:p>
            <w:pPr>
              <w:ind w:hanging="1"/>
              <w:jc w:val="right"/>
            </w:pPr>
            <w:r>
              <w:rPr>
                <w:b w:val="0"/>
                <w:i w:val="0"/>
                <w:strike w:val="0"/>
                <w:u w:val="none"/>
              </w:rPr>
              <w:t>30,638,802.74</w:t>
            </w:r>
          </w:p>
        </w:tc>
        <w:tc>
          <w:tcPr>
            <w:tcW w:w="2431" w:type="dxa"/>
            <w:shd w:val="clear" w:color="auto" w:fill="auto"/>
            <w:vAlign w:val="center"/>
          </w:tcPr>
          <w:p>
            <w:pPr>
              <w:ind w:hanging="1"/>
              <w:jc w:val="right"/>
            </w:pPr>
            <w:r>
              <w:rPr>
                <w:b w:val="0"/>
                <w:i w:val="0"/>
                <w:strike w:val="0"/>
                <w:u w:val="none"/>
              </w:rP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21,019,945.21</w:t>
            </w:r>
          </w:p>
        </w:tc>
        <w:tc>
          <w:tcPr>
            <w:tcW w:w="2431" w:type="dxa"/>
            <w:shd w:val="clear" w:color="auto" w:fill="auto"/>
            <w:vAlign w:val="center"/>
          </w:tcPr>
          <w:p>
            <w:pPr>
              <w:ind w:hanging="1"/>
              <w:jc w:val="right"/>
            </w:pPr>
            <w:r>
              <w:rPr>
                <w:b w:val="0"/>
                <w:i w:val="0"/>
                <w:strike w:val="0"/>
                <w:u w:val="none"/>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20,944,142.47</w:t>
            </w:r>
          </w:p>
        </w:tc>
        <w:tc>
          <w:tcPr>
            <w:tcW w:w="2431" w:type="dxa"/>
            <w:shd w:val="clear" w:color="auto" w:fill="auto"/>
            <w:vAlign w:val="center"/>
          </w:tcPr>
          <w:p>
            <w:pPr>
              <w:ind w:hanging="1"/>
              <w:jc w:val="right"/>
            </w:pPr>
            <w:r>
              <w:rPr>
                <w:b w:val="0"/>
                <w:i w:val="0"/>
                <w:strike w:val="0"/>
                <w:u w:val="none"/>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20,592,230.14</w:t>
            </w:r>
          </w:p>
        </w:tc>
        <w:tc>
          <w:tcPr>
            <w:tcW w:w="2431" w:type="dxa"/>
            <w:shd w:val="clear" w:color="auto" w:fill="auto"/>
            <w:vAlign w:val="center"/>
          </w:tcPr>
          <w:p>
            <w:pPr>
              <w:ind w:hanging="1"/>
              <w:jc w:val="right"/>
            </w:pPr>
            <w:r>
              <w:rPr>
                <w:b w:val="0"/>
                <w:i w:val="0"/>
                <w:strike w:val="0"/>
                <w:u w:val="none"/>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24新津城乡PPN001B</w:t>
            </w:r>
          </w:p>
        </w:tc>
        <w:tc>
          <w:tcPr>
            <w:tcW w:w="2693" w:type="dxa"/>
            <w:shd w:val="clear" w:color="auto" w:fill="auto"/>
            <w:vAlign w:val="center"/>
          </w:tcPr>
          <w:p>
            <w:pPr>
              <w:ind w:hanging="1"/>
              <w:jc w:val="right"/>
            </w:pPr>
            <w:r>
              <w:rPr>
                <w:b w:val="0"/>
                <w:i w:val="0"/>
                <w:strike w:val="0"/>
                <w:u w:val="none"/>
              </w:rPr>
              <w:t>20,403,205.48</w:t>
            </w:r>
          </w:p>
        </w:tc>
        <w:tc>
          <w:tcPr>
            <w:tcW w:w="2431" w:type="dxa"/>
            <w:shd w:val="clear" w:color="auto" w:fill="auto"/>
            <w:vAlign w:val="center"/>
          </w:tcPr>
          <w:p>
            <w:pPr>
              <w:ind w:hanging="1"/>
              <w:jc w:val="right"/>
            </w:pPr>
            <w:r>
              <w:rPr>
                <w:b w:val="0"/>
                <w:i w:val="0"/>
                <w:strike w:val="0"/>
                <w:u w:val="none"/>
              </w:rPr>
              <w:t>3.17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本报告期末，本产品投资的21攀国投属于关联交易。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FE4AB7"/>
    <w:rsid w:val="1DD13355"/>
    <w:rsid w:val="1F246194"/>
    <w:rsid w:val="21AF23DE"/>
    <w:rsid w:val="250932D9"/>
    <w:rsid w:val="30D863E3"/>
    <w:rsid w:val="35706056"/>
    <w:rsid w:val="35844C1F"/>
    <w:rsid w:val="378A66D0"/>
    <w:rsid w:val="3B444E1F"/>
    <w:rsid w:val="46050EA9"/>
    <w:rsid w:val="49D862C5"/>
    <w:rsid w:val="4B474E5A"/>
    <w:rsid w:val="51E06E0A"/>
    <w:rsid w:val="53167101"/>
    <w:rsid w:val="5B5FA6DC"/>
    <w:rsid w:val="63BE4DA7"/>
    <w:rsid w:val="6CB6511A"/>
    <w:rsid w:val="7061024C"/>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2025-04-16T09:19:07Z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