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四川银行定开系列6个月5号净值型理财产品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381,841,000.00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3,349,608.00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2,373,238.82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384,371,759.99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384,371,759.99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324,723,590.00</w:t>
            </w:r>
          </w:p>
        </w:tc>
        <w:tc>
          <w:tcPr>
            <w:tcW w:w="1749" w:type="dxa"/>
            <w:shd w:val="clear" w:color="auto" w:fill="auto"/>
            <w:vAlign w:val="center"/>
          </w:tcPr>
          <w:p>
            <w:pPr>
              <w:jc w:val="right"/>
            </w:pPr>
            <w:r>
              <w:t>84.06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310,172,613.26</w:t>
            </w:r>
          </w:p>
        </w:tc>
        <w:tc>
          <w:tcPr>
            <w:tcW w:w="1749" w:type="dxa"/>
            <w:shd w:val="clear" w:color="auto" w:fill="auto"/>
            <w:vAlign w:val="center"/>
          </w:tcPr>
          <w:p>
            <w:pPr>
              <w:jc w:val="right"/>
            </w:pPr>
            <w:r>
              <w:t>80.29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14,550,976.74</w:t>
            </w:r>
          </w:p>
        </w:tc>
        <w:tc>
          <w:tcPr>
            <w:tcW w:w="1749" w:type="dxa"/>
            <w:shd w:val="clear" w:color="auto" w:fill="auto"/>
            <w:vAlign w:val="center"/>
          </w:tcPr>
          <w:p>
            <w:pPr>
              <w:jc w:val="right"/>
            </w:pPr>
            <w:r>
              <w:t>3.77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50,012,045.28</w:t>
            </w:r>
          </w:p>
        </w:tc>
        <w:tc>
          <w:tcPr>
            <w:tcW w:w="1749" w:type="dxa"/>
            <w:shd w:val="clear" w:color="auto" w:fill="auto"/>
            <w:vAlign w:val="center"/>
          </w:tcPr>
          <w:p>
            <w:pPr>
              <w:jc w:val="right"/>
            </w:pPr>
            <w:r>
              <w:t>12.95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11,450,310.47</w:t>
            </w:r>
          </w:p>
        </w:tc>
        <w:tc>
          <w:tcPr>
            <w:tcW w:w="1749" w:type="dxa"/>
            <w:shd w:val="clear" w:color="auto" w:fill="auto"/>
            <w:vAlign w:val="center"/>
          </w:tcPr>
          <w:p>
            <w:pPr>
              <w:jc w:val="right"/>
            </w:pPr>
            <w:r>
              <w:t>2.96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119,427.62</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386,305,373.37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50,012,045.28</w:t>
            </w:r>
          </w:p>
        </w:tc>
        <w:tc>
          <w:tcPr>
            <w:tcW w:w="2431" w:type="dxa"/>
            <w:shd w:val="clear" w:color="auto" w:fill="auto"/>
            <w:vAlign w:val="center"/>
          </w:tcPr>
          <w:p>
            <w:pPr>
              <w:jc w:val="right"/>
            </w:pPr>
            <w:bookmarkStart w:id="3" w:name="OLE_LINK6"/>
            <w:bookmarkEnd w:id="3"/>
            <w:bookmarkStart w:id="4" w:name="OLE_LINK5"/>
            <w:bookmarkEnd w:id="4"/>
            <w:r>
              <w:rPr>
                <w:rFonts w:hint="eastAsia"/>
              </w:rPr>
              <w:t>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29,967,767.42</w:t>
            </w:r>
          </w:p>
        </w:tc>
        <w:tc>
          <w:tcPr>
            <w:tcW w:w="2431" w:type="dxa"/>
            <w:shd w:val="clear" w:color="auto" w:fill="auto"/>
            <w:vAlign w:val="center"/>
          </w:tcPr>
          <w:p>
            <w:pPr>
              <w:ind w:hanging="1"/>
              <w:jc w:val="right"/>
            </w:pPr>
            <w:r>
              <w:rPr>
                <w:b w:val="0"/>
                <w:i w:val="0"/>
                <w:strike w:val="0"/>
                <w:u w:val="none"/>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24富滇银行CD091</w:t>
            </w:r>
          </w:p>
        </w:tc>
        <w:tc>
          <w:tcPr>
            <w:tcW w:w="2693" w:type="dxa"/>
            <w:shd w:val="clear" w:color="auto" w:fill="auto"/>
            <w:vAlign w:val="center"/>
          </w:tcPr>
          <w:p>
            <w:pPr>
              <w:ind w:hanging="1"/>
              <w:jc w:val="right"/>
            </w:pPr>
            <w:r>
              <w:rPr>
                <w:b w:val="0"/>
                <w:i w:val="0"/>
                <w:strike w:val="0"/>
                <w:u w:val="none"/>
              </w:rPr>
              <w:t>29,890,298.63</w:t>
            </w:r>
          </w:p>
        </w:tc>
        <w:tc>
          <w:tcPr>
            <w:tcW w:w="2431" w:type="dxa"/>
            <w:shd w:val="clear" w:color="auto" w:fill="auto"/>
            <w:vAlign w:val="center"/>
          </w:tcPr>
          <w:p>
            <w:pPr>
              <w:ind w:hanging="1"/>
              <w:jc w:val="right"/>
            </w:pPr>
            <w:r>
              <w:rPr>
                <w:b w:val="0"/>
                <w:i w:val="0"/>
                <w:strike w:val="0"/>
                <w:u w:val="none"/>
              </w:rPr>
              <w:t>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24日照银行CD066</w:t>
            </w:r>
          </w:p>
        </w:tc>
        <w:tc>
          <w:tcPr>
            <w:tcW w:w="2693" w:type="dxa"/>
            <w:shd w:val="clear" w:color="auto" w:fill="auto"/>
            <w:vAlign w:val="center"/>
          </w:tcPr>
          <w:p>
            <w:pPr>
              <w:ind w:hanging="1"/>
              <w:jc w:val="right"/>
            </w:pPr>
            <w:r>
              <w:rPr>
                <w:b w:val="0"/>
                <w:i w:val="0"/>
                <w:strike w:val="0"/>
                <w:u w:val="none"/>
              </w:rPr>
              <w:t>29,862,418.52</w:t>
            </w:r>
          </w:p>
        </w:tc>
        <w:tc>
          <w:tcPr>
            <w:tcW w:w="2431" w:type="dxa"/>
            <w:shd w:val="clear" w:color="auto" w:fill="auto"/>
            <w:vAlign w:val="center"/>
          </w:tcPr>
          <w:p>
            <w:pPr>
              <w:ind w:hanging="1"/>
              <w:jc w:val="right"/>
            </w:pPr>
            <w:r>
              <w:rPr>
                <w:b w:val="0"/>
                <w:i w:val="0"/>
                <w:strike w:val="0"/>
                <w:u w:val="none"/>
              </w:rPr>
              <w:t>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16,320,482.19</w:t>
            </w:r>
          </w:p>
        </w:tc>
        <w:tc>
          <w:tcPr>
            <w:tcW w:w="2431" w:type="dxa"/>
            <w:shd w:val="clear" w:color="auto" w:fill="auto"/>
            <w:vAlign w:val="center"/>
          </w:tcPr>
          <w:p>
            <w:pPr>
              <w:ind w:hanging="1"/>
              <w:jc w:val="right"/>
            </w:pPr>
            <w:r>
              <w:rPr>
                <w:b w:val="0"/>
                <w:i w:val="0"/>
                <w:strike w:val="0"/>
                <w:u w:val="none"/>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20香城投资MTN002</w:t>
            </w:r>
          </w:p>
        </w:tc>
        <w:tc>
          <w:tcPr>
            <w:tcW w:w="2693" w:type="dxa"/>
            <w:shd w:val="clear" w:color="auto" w:fill="auto"/>
            <w:vAlign w:val="center"/>
          </w:tcPr>
          <w:p>
            <w:pPr>
              <w:ind w:hanging="1"/>
              <w:jc w:val="right"/>
            </w:pPr>
            <w:r>
              <w:rPr>
                <w:b w:val="0"/>
                <w:i w:val="0"/>
                <w:strike w:val="0"/>
                <w:u w:val="none"/>
              </w:rPr>
              <w:t>15,403,993.15</w:t>
            </w:r>
          </w:p>
        </w:tc>
        <w:tc>
          <w:tcPr>
            <w:tcW w:w="2431" w:type="dxa"/>
            <w:shd w:val="clear" w:color="auto" w:fill="auto"/>
            <w:vAlign w:val="center"/>
          </w:tcPr>
          <w:p>
            <w:pPr>
              <w:ind w:hanging="1"/>
              <w:jc w:val="right"/>
            </w:pPr>
            <w:r>
              <w:rPr>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24泸投01</w:t>
            </w:r>
          </w:p>
        </w:tc>
        <w:tc>
          <w:tcPr>
            <w:tcW w:w="2693" w:type="dxa"/>
            <w:shd w:val="clear" w:color="auto" w:fill="auto"/>
            <w:vAlign w:val="center"/>
          </w:tcPr>
          <w:p>
            <w:pPr>
              <w:ind w:hanging="1"/>
              <w:jc w:val="right"/>
            </w:pPr>
            <w:r>
              <w:rPr>
                <w:b w:val="0"/>
                <w:i w:val="0"/>
                <w:strike w:val="0"/>
                <w:u w:val="none"/>
              </w:rPr>
              <w:t>15,399,300.00</w:t>
            </w:r>
          </w:p>
        </w:tc>
        <w:tc>
          <w:tcPr>
            <w:tcW w:w="2431" w:type="dxa"/>
            <w:shd w:val="clear" w:color="auto" w:fill="auto"/>
            <w:vAlign w:val="center"/>
          </w:tcPr>
          <w:p>
            <w:pPr>
              <w:ind w:hanging="1"/>
              <w:jc w:val="right"/>
            </w:pPr>
            <w:r>
              <w:rPr>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25贵州银行CD011</w:t>
            </w:r>
          </w:p>
        </w:tc>
        <w:tc>
          <w:tcPr>
            <w:tcW w:w="2693" w:type="dxa"/>
            <w:shd w:val="clear" w:color="auto" w:fill="auto"/>
            <w:vAlign w:val="center"/>
          </w:tcPr>
          <w:p>
            <w:pPr>
              <w:ind w:hanging="1"/>
              <w:jc w:val="right"/>
            </w:pPr>
            <w:r>
              <w:rPr>
                <w:b w:val="0"/>
                <w:i w:val="0"/>
                <w:strike w:val="0"/>
                <w:u w:val="none"/>
              </w:rPr>
              <w:t>14,741,260.27</w:t>
            </w:r>
          </w:p>
        </w:tc>
        <w:tc>
          <w:tcPr>
            <w:tcW w:w="2431" w:type="dxa"/>
            <w:shd w:val="clear" w:color="auto" w:fill="auto"/>
            <w:vAlign w:val="center"/>
          </w:tcPr>
          <w:p>
            <w:pPr>
              <w:ind w:hanging="1"/>
              <w:jc w:val="right"/>
            </w:pPr>
            <w:r>
              <w:rPr>
                <w:b w:val="0"/>
                <w:i w:val="0"/>
                <w:strike w:val="0"/>
                <w:u w:val="none"/>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空港03优</w:t>
            </w:r>
          </w:p>
        </w:tc>
        <w:tc>
          <w:tcPr>
            <w:tcW w:w="2693" w:type="dxa"/>
            <w:shd w:val="clear" w:color="auto" w:fill="auto"/>
            <w:vAlign w:val="center"/>
          </w:tcPr>
          <w:p>
            <w:pPr>
              <w:ind w:hanging="1"/>
              <w:jc w:val="right"/>
            </w:pPr>
            <w:r>
              <w:rPr>
                <w:b w:val="0"/>
                <w:i w:val="0"/>
                <w:strike w:val="0"/>
                <w:u w:val="none"/>
              </w:rPr>
              <w:t>14,550,976.74</w:t>
            </w:r>
          </w:p>
        </w:tc>
        <w:tc>
          <w:tcPr>
            <w:tcW w:w="2431" w:type="dxa"/>
            <w:shd w:val="clear" w:color="auto" w:fill="auto"/>
            <w:vAlign w:val="center"/>
          </w:tcPr>
          <w:p>
            <w:pPr>
              <w:ind w:hanging="1"/>
              <w:jc w:val="right"/>
            </w:pPr>
            <w:r>
              <w:rPr>
                <w:b w:val="0"/>
                <w:i w:val="0"/>
                <w:strike w:val="0"/>
                <w:u w:val="none"/>
              </w:rPr>
              <w:t>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23自高01</w:t>
            </w:r>
          </w:p>
        </w:tc>
        <w:tc>
          <w:tcPr>
            <w:tcW w:w="2693" w:type="dxa"/>
            <w:shd w:val="clear" w:color="auto" w:fill="auto"/>
            <w:vAlign w:val="center"/>
          </w:tcPr>
          <w:p>
            <w:pPr>
              <w:ind w:hanging="1"/>
              <w:jc w:val="right"/>
            </w:pPr>
            <w:r>
              <w:rPr>
                <w:b w:val="0"/>
                <w:i w:val="0"/>
                <w:strike w:val="0"/>
                <w:u w:val="none"/>
              </w:rPr>
              <w:t>10,841,904.11</w:t>
            </w:r>
          </w:p>
        </w:tc>
        <w:tc>
          <w:tcPr>
            <w:tcW w:w="2431" w:type="dxa"/>
            <w:shd w:val="clear" w:color="auto" w:fill="auto"/>
            <w:vAlign w:val="center"/>
          </w:tcPr>
          <w:p>
            <w:pPr>
              <w:ind w:hanging="1"/>
              <w:jc w:val="right"/>
            </w:pPr>
            <w:r>
              <w:rPr>
                <w:b w:val="0"/>
                <w:i w:val="0"/>
                <w:strike w:val="0"/>
                <w:u w:val="none"/>
              </w:rPr>
              <w:t>2.82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本报告期末，本产品投资的21攀国投</w:t>
      </w:r>
      <w:bookmarkStart w:id="5" w:name="_GoBack"/>
      <w:bookmarkEnd w:id="5"/>
      <w:r>
        <w:rPr>
          <w:rFonts w:hint="eastAsia" w:ascii="宋体" w:hAnsi="宋体" w:eastAsia="宋体" w:cs="Times New Roman"/>
          <w:szCs w:val="21"/>
        </w:rPr>
        <w:t>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FA015FF"/>
    <w:rsid w:val="1DD13355"/>
    <w:rsid w:val="1F246194"/>
    <w:rsid w:val="21AF23DE"/>
    <w:rsid w:val="250932D9"/>
    <w:rsid w:val="30D863E3"/>
    <w:rsid w:val="35706056"/>
    <w:rsid w:val="35844C1F"/>
    <w:rsid w:val="378A66D0"/>
    <w:rsid w:val="46050EA9"/>
    <w:rsid w:val="49D862C5"/>
    <w:rsid w:val="4B474E5A"/>
    <w:rsid w:val="51E06E0A"/>
    <w:rsid w:val="53167101"/>
    <w:rsid w:val="5B5FA6DC"/>
    <w:rsid w:val="5E1C68B5"/>
    <w:rsid w:val="63BE4DA7"/>
    <w:rsid w:val="6CB6511A"/>
    <w:rsid w:val="6F913CFF"/>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2025-04-16T09:12:44Z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