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四川银行定开系列6个月3号净值型理财产品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553,085,000.00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11.67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4,640,817.47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3,470,909.62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557,537,029.98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1.008</w:t>
            </w:r>
            <w:r>
              <w:rPr>
                <w:rFonts w:hint="eastAsia"/>
                <w:b w:val="0"/>
                <w:i w:val="0"/>
                <w:strike w:val="0"/>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557,537,029.98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1.1167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449,784,473.50</w:t>
            </w:r>
          </w:p>
        </w:tc>
        <w:tc>
          <w:tcPr>
            <w:tcW w:w="1749" w:type="dxa"/>
            <w:shd w:val="clear" w:color="auto" w:fill="auto"/>
            <w:vAlign w:val="center"/>
          </w:tcPr>
          <w:p>
            <w:pPr>
              <w:jc w:val="right"/>
            </w:pPr>
            <w:r>
              <w:t>80.28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449,784,473.50</w:t>
            </w:r>
          </w:p>
        </w:tc>
        <w:tc>
          <w:tcPr>
            <w:tcW w:w="1749" w:type="dxa"/>
            <w:shd w:val="clear" w:color="auto" w:fill="auto"/>
            <w:vAlign w:val="center"/>
          </w:tcPr>
          <w:p>
            <w:pPr>
              <w:jc w:val="right"/>
            </w:pPr>
            <w:r>
              <w:t>80.28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109,026,258.76</w:t>
            </w:r>
          </w:p>
        </w:tc>
        <w:tc>
          <w:tcPr>
            <w:tcW w:w="1749" w:type="dxa"/>
            <w:shd w:val="clear" w:color="auto" w:fill="auto"/>
            <w:vAlign w:val="center"/>
          </w:tcPr>
          <w:p>
            <w:pPr>
              <w:jc w:val="right"/>
            </w:pPr>
            <w:r>
              <w:t>19.46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854,415.15</w:t>
            </w:r>
          </w:p>
        </w:tc>
        <w:tc>
          <w:tcPr>
            <w:tcW w:w="1749" w:type="dxa"/>
            <w:shd w:val="clear" w:color="auto" w:fill="auto"/>
            <w:vAlign w:val="center"/>
          </w:tcPr>
          <w:p>
            <w:pPr>
              <w:jc w:val="right"/>
            </w:pPr>
            <w:r>
              <w:t>0.15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590,338.45</w:t>
            </w:r>
          </w:p>
        </w:tc>
        <w:tc>
          <w:tcPr>
            <w:tcW w:w="1749" w:type="dxa"/>
            <w:shd w:val="clear" w:color="auto" w:fill="auto"/>
            <w:vAlign w:val="center"/>
          </w:tcPr>
          <w:p>
            <w:pPr>
              <w:jc w:val="right"/>
            </w:pPr>
            <w:r>
              <w:t>0.11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560,255,485.86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109,026,258.76</w:t>
            </w:r>
          </w:p>
        </w:tc>
        <w:tc>
          <w:tcPr>
            <w:tcW w:w="2431" w:type="dxa"/>
            <w:shd w:val="clear" w:color="auto" w:fill="auto"/>
            <w:vAlign w:val="center"/>
          </w:tcPr>
          <w:p>
            <w:pPr>
              <w:jc w:val="right"/>
            </w:pPr>
            <w:bookmarkStart w:id="3" w:name="OLE_LINK6"/>
            <w:bookmarkEnd w:id="3"/>
            <w:bookmarkStart w:id="4" w:name="OLE_LINK5"/>
            <w:bookmarkEnd w:id="4"/>
            <w:r>
              <w:rPr>
                <w:rFonts w:hint="eastAsia"/>
              </w:rPr>
              <w:t>19.55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25天津银行CD051</w:t>
            </w:r>
          </w:p>
        </w:tc>
        <w:tc>
          <w:tcPr>
            <w:tcW w:w="2693" w:type="dxa"/>
            <w:shd w:val="clear" w:color="auto" w:fill="auto"/>
            <w:vAlign w:val="center"/>
          </w:tcPr>
          <w:p>
            <w:pPr>
              <w:ind w:hanging="1"/>
              <w:jc w:val="right"/>
            </w:pPr>
            <w:r>
              <w:rPr>
                <w:b w:val="0"/>
                <w:i w:val="0"/>
                <w:strike w:val="0"/>
                <w:u w:val="none"/>
              </w:rPr>
              <w:t>49,817,951.09</w:t>
            </w:r>
          </w:p>
        </w:tc>
        <w:tc>
          <w:tcPr>
            <w:tcW w:w="2431" w:type="dxa"/>
            <w:shd w:val="clear" w:color="auto" w:fill="auto"/>
            <w:vAlign w:val="center"/>
          </w:tcPr>
          <w:p>
            <w:pPr>
              <w:ind w:hanging="1"/>
              <w:jc w:val="right"/>
            </w:pPr>
            <w:r>
              <w:rPr>
                <w:b w:val="0"/>
                <w:i w:val="0"/>
                <w:strike w:val="0"/>
                <w:u w:val="none"/>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25渤海银行CD035</w:t>
            </w:r>
          </w:p>
        </w:tc>
        <w:tc>
          <w:tcPr>
            <w:tcW w:w="2693" w:type="dxa"/>
            <w:shd w:val="clear" w:color="auto" w:fill="auto"/>
            <w:vAlign w:val="center"/>
          </w:tcPr>
          <w:p>
            <w:pPr>
              <w:ind w:hanging="1"/>
              <w:jc w:val="right"/>
            </w:pPr>
            <w:r>
              <w:rPr>
                <w:b w:val="0"/>
                <w:i w:val="0"/>
                <w:strike w:val="0"/>
                <w:u w:val="none"/>
              </w:rPr>
              <w:t>39,954,407.11</w:t>
            </w:r>
          </w:p>
        </w:tc>
        <w:tc>
          <w:tcPr>
            <w:tcW w:w="2431" w:type="dxa"/>
            <w:shd w:val="clear" w:color="auto" w:fill="auto"/>
            <w:vAlign w:val="center"/>
          </w:tcPr>
          <w:p>
            <w:pPr>
              <w:ind w:hanging="1"/>
              <w:jc w:val="right"/>
            </w:pPr>
            <w:r>
              <w:rPr>
                <w:b w:val="0"/>
                <w:i w:val="0"/>
                <w:strike w:val="0"/>
                <w:u w:val="none"/>
              </w:rPr>
              <w:t>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30,404,917.81</w:t>
            </w:r>
          </w:p>
        </w:tc>
        <w:tc>
          <w:tcPr>
            <w:tcW w:w="2431" w:type="dxa"/>
            <w:shd w:val="clear" w:color="auto" w:fill="auto"/>
            <w:vAlign w:val="center"/>
          </w:tcPr>
          <w:p>
            <w:pPr>
              <w:ind w:hanging="1"/>
              <w:jc w:val="right"/>
            </w:pPr>
            <w:r>
              <w:rPr>
                <w:b w:val="0"/>
                <w:i w:val="0"/>
                <w:strike w:val="0"/>
                <w:u w:val="none"/>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24泸投01</w:t>
            </w:r>
          </w:p>
        </w:tc>
        <w:tc>
          <w:tcPr>
            <w:tcW w:w="2693" w:type="dxa"/>
            <w:shd w:val="clear" w:color="auto" w:fill="auto"/>
            <w:vAlign w:val="center"/>
          </w:tcPr>
          <w:p>
            <w:pPr>
              <w:ind w:hanging="1"/>
              <w:jc w:val="right"/>
            </w:pPr>
            <w:r>
              <w:rPr>
                <w:b w:val="0"/>
                <w:i w:val="0"/>
                <w:strike w:val="0"/>
                <w:u w:val="none"/>
              </w:rPr>
              <w:t>25,665,500.00</w:t>
            </w:r>
          </w:p>
        </w:tc>
        <w:tc>
          <w:tcPr>
            <w:tcW w:w="2431" w:type="dxa"/>
            <w:shd w:val="clear" w:color="auto" w:fill="auto"/>
            <w:vAlign w:val="center"/>
          </w:tcPr>
          <w:p>
            <w:pPr>
              <w:ind w:hanging="1"/>
              <w:jc w:val="right"/>
            </w:pPr>
            <w:r>
              <w:rPr>
                <w:b w:val="0"/>
                <w:i w:val="0"/>
                <w:strike w:val="0"/>
                <w:u w:val="none"/>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24乐高01</w:t>
            </w:r>
          </w:p>
        </w:tc>
        <w:tc>
          <w:tcPr>
            <w:tcW w:w="2693" w:type="dxa"/>
            <w:shd w:val="clear" w:color="auto" w:fill="auto"/>
            <w:vAlign w:val="center"/>
          </w:tcPr>
          <w:p>
            <w:pPr>
              <w:ind w:hanging="1"/>
              <w:jc w:val="right"/>
            </w:pPr>
            <w:r>
              <w:rPr>
                <w:b w:val="0"/>
                <w:i w:val="0"/>
                <w:strike w:val="0"/>
                <w:u w:val="none"/>
              </w:rPr>
              <w:t>25,205,161.64</w:t>
            </w:r>
          </w:p>
        </w:tc>
        <w:tc>
          <w:tcPr>
            <w:tcW w:w="2431" w:type="dxa"/>
            <w:shd w:val="clear" w:color="auto" w:fill="auto"/>
            <w:vAlign w:val="center"/>
          </w:tcPr>
          <w:p>
            <w:pPr>
              <w:ind w:hanging="1"/>
              <w:jc w:val="right"/>
            </w:pPr>
            <w:r>
              <w:rPr>
                <w:b w:val="0"/>
                <w:i w:val="0"/>
                <w:strike w:val="0"/>
                <w:u w:val="none"/>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21,019,945.21</w:t>
            </w:r>
          </w:p>
        </w:tc>
        <w:tc>
          <w:tcPr>
            <w:tcW w:w="2431" w:type="dxa"/>
            <w:shd w:val="clear" w:color="auto" w:fill="auto"/>
            <w:vAlign w:val="center"/>
          </w:tcPr>
          <w:p>
            <w:pPr>
              <w:ind w:hanging="1"/>
              <w:jc w:val="right"/>
            </w:pPr>
            <w:r>
              <w:rPr>
                <w:b w:val="0"/>
                <w:i w:val="0"/>
                <w:strike w:val="0"/>
                <w:u w:val="none"/>
              </w:rP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20,926,487.67</w:t>
            </w:r>
          </w:p>
        </w:tc>
        <w:tc>
          <w:tcPr>
            <w:tcW w:w="2431" w:type="dxa"/>
            <w:shd w:val="clear" w:color="auto" w:fill="auto"/>
            <w:vAlign w:val="center"/>
          </w:tcPr>
          <w:p>
            <w:pPr>
              <w:ind w:hanging="1"/>
              <w:jc w:val="right"/>
            </w:pPr>
            <w:r>
              <w:rPr>
                <w:b w:val="0"/>
                <w:i w:val="0"/>
                <w:strike w:val="0"/>
                <w:u w:val="none"/>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24西汇投资PPN001</w:t>
            </w:r>
          </w:p>
        </w:tc>
        <w:tc>
          <w:tcPr>
            <w:tcW w:w="2693" w:type="dxa"/>
            <w:shd w:val="clear" w:color="auto" w:fill="auto"/>
            <w:vAlign w:val="center"/>
          </w:tcPr>
          <w:p>
            <w:pPr>
              <w:ind w:hanging="1"/>
              <w:jc w:val="right"/>
            </w:pPr>
            <w:r>
              <w:rPr>
                <w:b w:val="0"/>
                <w:i w:val="0"/>
                <w:strike w:val="0"/>
                <w:u w:val="none"/>
              </w:rPr>
              <w:t>20,490,065.75</w:t>
            </w:r>
          </w:p>
        </w:tc>
        <w:tc>
          <w:tcPr>
            <w:tcW w:w="2431" w:type="dxa"/>
            <w:shd w:val="clear" w:color="auto" w:fill="auto"/>
            <w:vAlign w:val="center"/>
          </w:tcPr>
          <w:p>
            <w:pPr>
              <w:ind w:hanging="1"/>
              <w:jc w:val="right"/>
            </w:pPr>
            <w:r>
              <w:rPr>
                <w:b w:val="0"/>
                <w:i w:val="0"/>
                <w:strike w:val="0"/>
                <w:u w:val="none"/>
              </w:rPr>
              <w:t>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24邛崃建投PPN001</w:t>
            </w:r>
          </w:p>
        </w:tc>
        <w:tc>
          <w:tcPr>
            <w:tcW w:w="2693" w:type="dxa"/>
            <w:shd w:val="clear" w:color="auto" w:fill="auto"/>
            <w:vAlign w:val="center"/>
          </w:tcPr>
          <w:p>
            <w:pPr>
              <w:ind w:hanging="1"/>
              <w:jc w:val="right"/>
            </w:pPr>
            <w:r>
              <w:rPr>
                <w:b w:val="0"/>
                <w:i w:val="0"/>
                <w:strike w:val="0"/>
                <w:u w:val="none"/>
              </w:rPr>
              <w:t>20,403,457.53</w:t>
            </w:r>
          </w:p>
        </w:tc>
        <w:tc>
          <w:tcPr>
            <w:tcW w:w="2431" w:type="dxa"/>
            <w:shd w:val="clear" w:color="auto" w:fill="auto"/>
            <w:vAlign w:val="center"/>
          </w:tcPr>
          <w:p>
            <w:pPr>
              <w:ind w:hanging="1"/>
              <w:jc w:val="right"/>
            </w:pPr>
            <w:r>
              <w:rPr>
                <w:b w:val="0"/>
                <w:i w:val="0"/>
                <w:strike w:val="0"/>
                <w:u w:val="none"/>
              </w:rPr>
              <w:t>3.66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D936574"/>
    <w:rsid w:val="11A8647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2025-04-08T03:06:00Z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