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四川银行定开系列6个月2号净值型理财产品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438,545,000.00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12.14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4,140,681.65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2,699,221.09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442,321,665.76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442,321,665.76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1.1214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353,049,588.67</w:t>
            </w:r>
          </w:p>
        </w:tc>
        <w:tc>
          <w:tcPr>
            <w:tcW w:w="1749" w:type="dxa"/>
            <w:shd w:val="clear" w:color="auto" w:fill="auto"/>
            <w:vAlign w:val="center"/>
          </w:tcPr>
          <w:p>
            <w:pPr>
              <w:jc w:val="right"/>
            </w:pPr>
            <w:r>
              <w:t>79.16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353,049,588.67</w:t>
            </w:r>
          </w:p>
        </w:tc>
        <w:tc>
          <w:tcPr>
            <w:tcW w:w="1749" w:type="dxa"/>
            <w:shd w:val="clear" w:color="auto" w:fill="auto"/>
            <w:vAlign w:val="center"/>
          </w:tcPr>
          <w:p>
            <w:pPr>
              <w:jc w:val="right"/>
            </w:pPr>
            <w:r>
              <w:t>79.16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82,019,754.28</w:t>
            </w:r>
          </w:p>
        </w:tc>
        <w:tc>
          <w:tcPr>
            <w:tcW w:w="1749" w:type="dxa"/>
            <w:shd w:val="clear" w:color="auto" w:fill="auto"/>
            <w:vAlign w:val="center"/>
          </w:tcPr>
          <w:p>
            <w:pPr>
              <w:jc w:val="right"/>
            </w:pPr>
            <w:r>
              <w:t>18.39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10,770,366.89</w:t>
            </w:r>
          </w:p>
        </w:tc>
        <w:tc>
          <w:tcPr>
            <w:tcW w:w="1749" w:type="dxa"/>
            <w:shd w:val="clear" w:color="auto" w:fill="auto"/>
            <w:vAlign w:val="center"/>
          </w:tcPr>
          <w:p>
            <w:pPr>
              <w:jc w:val="right"/>
            </w:pPr>
            <w:r>
              <w:t>2.41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167,433.01</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446,007,142.85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82,019,754.28</w:t>
            </w:r>
          </w:p>
        </w:tc>
        <w:tc>
          <w:tcPr>
            <w:tcW w:w="2431" w:type="dxa"/>
            <w:shd w:val="clear" w:color="auto" w:fill="auto"/>
            <w:vAlign w:val="center"/>
          </w:tcPr>
          <w:p>
            <w:pPr>
              <w:jc w:val="right"/>
            </w:pPr>
            <w:bookmarkStart w:id="3" w:name="OLE_LINK5"/>
            <w:bookmarkEnd w:id="3"/>
            <w:bookmarkStart w:id="4" w:name="OLE_LINK6"/>
            <w:bookmarkEnd w:id="4"/>
            <w:r>
              <w:rPr>
                <w:rFonts w:hint="eastAsia"/>
              </w:rPr>
              <w:t>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24兴锦农业PPN001A</w:t>
            </w:r>
          </w:p>
        </w:tc>
        <w:tc>
          <w:tcPr>
            <w:tcW w:w="2693" w:type="dxa"/>
            <w:shd w:val="clear" w:color="auto" w:fill="auto"/>
            <w:vAlign w:val="center"/>
          </w:tcPr>
          <w:p>
            <w:pPr>
              <w:ind w:hanging="1"/>
              <w:jc w:val="right"/>
            </w:pPr>
            <w:r>
              <w:rPr>
                <w:b w:val="0"/>
                <w:i w:val="0"/>
                <w:strike w:val="0"/>
                <w:u w:val="none"/>
              </w:rPr>
              <w:t>20,748,893.15</w:t>
            </w:r>
          </w:p>
        </w:tc>
        <w:tc>
          <w:tcPr>
            <w:tcW w:w="2431" w:type="dxa"/>
            <w:shd w:val="clear" w:color="auto" w:fill="auto"/>
            <w:vAlign w:val="center"/>
          </w:tcPr>
          <w:p>
            <w:pPr>
              <w:ind w:hanging="1"/>
              <w:jc w:val="right"/>
            </w:pPr>
            <w:r>
              <w:rPr>
                <w:b w:val="0"/>
                <w:i w:val="0"/>
                <w:strike w:val="0"/>
                <w:u w:val="none"/>
              </w:rPr>
              <w:t>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22攀钢02</w:t>
            </w:r>
          </w:p>
        </w:tc>
        <w:tc>
          <w:tcPr>
            <w:tcW w:w="2693" w:type="dxa"/>
            <w:shd w:val="clear" w:color="auto" w:fill="auto"/>
            <w:vAlign w:val="center"/>
          </w:tcPr>
          <w:p>
            <w:pPr>
              <w:ind w:hanging="1"/>
              <w:jc w:val="right"/>
            </w:pPr>
            <w:r>
              <w:rPr>
                <w:b w:val="0"/>
                <w:i w:val="0"/>
                <w:strike w:val="0"/>
                <w:u w:val="none"/>
              </w:rPr>
              <w:t>20,558,482.19</w:t>
            </w:r>
          </w:p>
        </w:tc>
        <w:tc>
          <w:tcPr>
            <w:tcW w:w="2431" w:type="dxa"/>
            <w:shd w:val="clear" w:color="auto" w:fill="auto"/>
            <w:vAlign w:val="center"/>
          </w:tcPr>
          <w:p>
            <w:pPr>
              <w:ind w:hanging="1"/>
              <w:jc w:val="right"/>
            </w:pPr>
            <w:r>
              <w:rPr>
                <w:b w:val="0"/>
                <w:i w:val="0"/>
                <w:strike w:val="0"/>
                <w:u w:val="none"/>
              </w:rPr>
              <w:t>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24珠海华润银行CD052</w:t>
            </w:r>
          </w:p>
        </w:tc>
        <w:tc>
          <w:tcPr>
            <w:tcW w:w="2693" w:type="dxa"/>
            <w:shd w:val="clear" w:color="auto" w:fill="auto"/>
            <w:vAlign w:val="center"/>
          </w:tcPr>
          <w:p>
            <w:pPr>
              <w:ind w:hanging="1"/>
              <w:jc w:val="right"/>
            </w:pPr>
            <w:r>
              <w:rPr>
                <w:b w:val="0"/>
                <w:i w:val="0"/>
                <w:strike w:val="0"/>
                <w:u w:val="none"/>
              </w:rPr>
              <w:t>19,975,438.68</w:t>
            </w:r>
          </w:p>
        </w:tc>
        <w:tc>
          <w:tcPr>
            <w:tcW w:w="2431" w:type="dxa"/>
            <w:shd w:val="clear" w:color="auto" w:fill="auto"/>
            <w:vAlign w:val="center"/>
          </w:tcPr>
          <w:p>
            <w:pPr>
              <w:ind w:hanging="1"/>
              <w:jc w:val="right"/>
            </w:pPr>
            <w:r>
              <w:rPr>
                <w:b w:val="0"/>
                <w:i w:val="0"/>
                <w:strike w:val="0"/>
                <w:u w:val="none"/>
              </w:rPr>
              <w:t>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24日照银行CD147</w:t>
            </w:r>
          </w:p>
        </w:tc>
        <w:tc>
          <w:tcPr>
            <w:tcW w:w="2693" w:type="dxa"/>
            <w:shd w:val="clear" w:color="auto" w:fill="auto"/>
            <w:vAlign w:val="center"/>
          </w:tcPr>
          <w:p>
            <w:pPr>
              <w:ind w:hanging="1"/>
              <w:jc w:val="right"/>
            </w:pPr>
            <w:r>
              <w:rPr>
                <w:b w:val="0"/>
                <w:i w:val="0"/>
                <w:strike w:val="0"/>
                <w:u w:val="none"/>
              </w:rPr>
              <w:t>19,734,003.73</w:t>
            </w:r>
          </w:p>
        </w:tc>
        <w:tc>
          <w:tcPr>
            <w:tcW w:w="2431" w:type="dxa"/>
            <w:shd w:val="clear" w:color="auto" w:fill="auto"/>
            <w:vAlign w:val="center"/>
          </w:tcPr>
          <w:p>
            <w:pPr>
              <w:ind w:hanging="1"/>
              <w:jc w:val="right"/>
            </w:pPr>
            <w:r>
              <w:rPr>
                <w:b w:val="0"/>
                <w:i w:val="0"/>
                <w:strike w:val="0"/>
                <w:u w:val="none"/>
              </w:rPr>
              <w:t>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25广东顺德农商行CD006</w:t>
            </w:r>
          </w:p>
        </w:tc>
        <w:tc>
          <w:tcPr>
            <w:tcW w:w="2693" w:type="dxa"/>
            <w:shd w:val="clear" w:color="auto" w:fill="auto"/>
            <w:vAlign w:val="center"/>
          </w:tcPr>
          <w:p>
            <w:pPr>
              <w:ind w:hanging="1"/>
              <w:jc w:val="right"/>
            </w:pPr>
            <w:r>
              <w:rPr>
                <w:b w:val="0"/>
                <w:i w:val="0"/>
                <w:strike w:val="0"/>
                <w:u w:val="none"/>
              </w:rPr>
              <w:t>19,631,145.42</w:t>
            </w:r>
          </w:p>
        </w:tc>
        <w:tc>
          <w:tcPr>
            <w:tcW w:w="2431" w:type="dxa"/>
            <w:shd w:val="clear" w:color="auto" w:fill="auto"/>
            <w:vAlign w:val="center"/>
          </w:tcPr>
          <w:p>
            <w:pPr>
              <w:ind w:hanging="1"/>
              <w:jc w:val="right"/>
            </w:pPr>
            <w:r>
              <w:rPr>
                <w:b w:val="0"/>
                <w:i w:val="0"/>
                <w:strike w:val="0"/>
                <w:u w:val="none"/>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25稠州商行CD005</w:t>
            </w:r>
          </w:p>
        </w:tc>
        <w:tc>
          <w:tcPr>
            <w:tcW w:w="2693" w:type="dxa"/>
            <w:shd w:val="clear" w:color="auto" w:fill="auto"/>
            <w:vAlign w:val="center"/>
          </w:tcPr>
          <w:p>
            <w:pPr>
              <w:ind w:hanging="1"/>
              <w:jc w:val="right"/>
            </w:pPr>
            <w:r>
              <w:rPr>
                <w:b w:val="0"/>
                <w:i w:val="0"/>
                <w:strike w:val="0"/>
                <w:u w:val="none"/>
              </w:rPr>
              <w:t>19,623,275.62</w:t>
            </w:r>
          </w:p>
        </w:tc>
        <w:tc>
          <w:tcPr>
            <w:tcW w:w="2431" w:type="dxa"/>
            <w:shd w:val="clear" w:color="auto" w:fill="auto"/>
            <w:vAlign w:val="center"/>
          </w:tcPr>
          <w:p>
            <w:pPr>
              <w:ind w:hanging="1"/>
              <w:jc w:val="right"/>
            </w:pPr>
            <w:r>
              <w:rPr>
                <w:b w:val="0"/>
                <w:i w:val="0"/>
                <w:strike w:val="0"/>
                <w:u w:val="none"/>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24稠州商行CD026</w:t>
            </w:r>
          </w:p>
        </w:tc>
        <w:tc>
          <w:tcPr>
            <w:tcW w:w="2693" w:type="dxa"/>
            <w:shd w:val="clear" w:color="auto" w:fill="auto"/>
            <w:vAlign w:val="center"/>
          </w:tcPr>
          <w:p>
            <w:pPr>
              <w:ind w:hanging="1"/>
              <w:jc w:val="right"/>
            </w:pPr>
            <w:r>
              <w:rPr>
                <w:b w:val="0"/>
                <w:i w:val="0"/>
                <w:strike w:val="0"/>
                <w:u w:val="none"/>
              </w:rPr>
              <w:t>16,851,181.53</w:t>
            </w:r>
          </w:p>
        </w:tc>
        <w:tc>
          <w:tcPr>
            <w:tcW w:w="2431" w:type="dxa"/>
            <w:shd w:val="clear" w:color="auto" w:fill="auto"/>
            <w:vAlign w:val="center"/>
          </w:tcPr>
          <w:p>
            <w:pPr>
              <w:ind w:hanging="1"/>
              <w:jc w:val="right"/>
            </w:pPr>
            <w:r>
              <w:rPr>
                <w:b w:val="0"/>
                <w:i w:val="0"/>
                <w:strike w:val="0"/>
                <w:u w:val="none"/>
              </w:rPr>
              <w:t>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24郫国投MTN002</w:t>
            </w:r>
          </w:p>
        </w:tc>
        <w:tc>
          <w:tcPr>
            <w:tcW w:w="2693" w:type="dxa"/>
            <w:shd w:val="clear" w:color="auto" w:fill="auto"/>
            <w:vAlign w:val="center"/>
          </w:tcPr>
          <w:p>
            <w:pPr>
              <w:ind w:hanging="1"/>
              <w:jc w:val="right"/>
            </w:pPr>
            <w:r>
              <w:rPr>
                <w:b w:val="0"/>
                <w:i w:val="0"/>
                <w:strike w:val="0"/>
                <w:u w:val="none"/>
              </w:rPr>
              <w:t>16,268,427.40</w:t>
            </w:r>
          </w:p>
        </w:tc>
        <w:tc>
          <w:tcPr>
            <w:tcW w:w="2431" w:type="dxa"/>
            <w:shd w:val="clear" w:color="auto" w:fill="auto"/>
            <w:vAlign w:val="center"/>
          </w:tcPr>
          <w:p>
            <w:pPr>
              <w:ind w:hanging="1"/>
              <w:jc w:val="right"/>
            </w:pPr>
            <w:r>
              <w:rPr>
                <w:b w:val="0"/>
                <w:i w:val="0"/>
                <w:strike w:val="0"/>
                <w:u w:val="none"/>
              </w:rPr>
              <w:t>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24西汇投资PPN001</w:t>
            </w:r>
          </w:p>
        </w:tc>
        <w:tc>
          <w:tcPr>
            <w:tcW w:w="2693" w:type="dxa"/>
            <w:shd w:val="clear" w:color="auto" w:fill="auto"/>
            <w:vAlign w:val="center"/>
          </w:tcPr>
          <w:p>
            <w:pPr>
              <w:ind w:hanging="1"/>
              <w:jc w:val="right"/>
            </w:pPr>
            <w:r>
              <w:rPr>
                <w:b w:val="0"/>
                <w:i w:val="0"/>
                <w:strike w:val="0"/>
                <w:u w:val="none"/>
              </w:rPr>
              <w:t>15,367,549.32</w:t>
            </w:r>
          </w:p>
        </w:tc>
        <w:tc>
          <w:tcPr>
            <w:tcW w:w="2431" w:type="dxa"/>
            <w:shd w:val="clear" w:color="auto" w:fill="auto"/>
            <w:vAlign w:val="center"/>
          </w:tcPr>
          <w:p>
            <w:pPr>
              <w:ind w:hanging="1"/>
              <w:jc w:val="right"/>
            </w:pPr>
            <w:r>
              <w:rPr>
                <w:b w:val="0"/>
                <w:i w:val="0"/>
                <w:strike w:val="0"/>
                <w:u w:val="none"/>
              </w:rPr>
              <w:t>3.47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7256CE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179</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2025-04-08T03:04:22Z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