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四川银行定开系列6个月18号净值型理财产品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410,197,000.00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四川银行-四川银行定开系列6个月18号净值型理财产品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10.35</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3,199,826.04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2,568,833.97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414,401,789.22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414,401,789.22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1.1035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295,453,567.20</w:t>
            </w:r>
          </w:p>
        </w:tc>
        <w:tc>
          <w:tcPr>
            <w:tcW w:w="1749" w:type="dxa"/>
            <w:shd w:val="clear" w:color="auto" w:fill="auto"/>
            <w:vAlign w:val="center"/>
          </w:tcPr>
          <w:p>
            <w:pPr>
              <w:jc w:val="right"/>
            </w:pPr>
            <w:r>
              <w:t>70.70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295,453,567.20</w:t>
            </w:r>
          </w:p>
        </w:tc>
        <w:tc>
          <w:tcPr>
            <w:tcW w:w="1749" w:type="dxa"/>
            <w:shd w:val="clear" w:color="auto" w:fill="auto"/>
            <w:vAlign w:val="center"/>
          </w:tcPr>
          <w:p>
            <w:pPr>
              <w:jc w:val="right"/>
            </w:pPr>
            <w:r>
              <w:t>70.70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90,021,681.52</w:t>
            </w:r>
          </w:p>
        </w:tc>
        <w:tc>
          <w:tcPr>
            <w:tcW w:w="1749" w:type="dxa"/>
            <w:shd w:val="clear" w:color="auto" w:fill="auto"/>
            <w:vAlign w:val="center"/>
          </w:tcPr>
          <w:p>
            <w:pPr>
              <w:jc w:val="right"/>
            </w:pPr>
            <w:r>
              <w:t>21.54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32,355,691.07</w:t>
            </w:r>
          </w:p>
        </w:tc>
        <w:tc>
          <w:tcPr>
            <w:tcW w:w="1749" w:type="dxa"/>
            <w:shd w:val="clear" w:color="auto" w:fill="auto"/>
            <w:vAlign w:val="center"/>
          </w:tcPr>
          <w:p>
            <w:pPr>
              <w:jc w:val="right"/>
            </w:pPr>
            <w:r>
              <w:t>7.74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46,145.83</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417,877,085.62</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90,021,681.52</w:t>
            </w:r>
          </w:p>
        </w:tc>
        <w:tc>
          <w:tcPr>
            <w:tcW w:w="2431" w:type="dxa"/>
            <w:shd w:val="clear" w:color="auto" w:fill="auto"/>
            <w:vAlign w:val="center"/>
          </w:tcPr>
          <w:p>
            <w:pPr>
              <w:jc w:val="right"/>
            </w:pPr>
            <w:bookmarkStart w:id="3" w:name="OLE_LINK5"/>
            <w:bookmarkEnd w:id="3"/>
            <w:bookmarkStart w:id="4" w:name="OLE_LINK6"/>
            <w:bookmarkEnd w:id="4"/>
            <w:r>
              <w:rPr>
                <w:rFonts w:hint="eastAsia"/>
              </w:rPr>
              <w:t>21.72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24贵州银行CD054</w:t>
            </w:r>
          </w:p>
        </w:tc>
        <w:tc>
          <w:tcPr>
            <w:tcW w:w="2693" w:type="dxa"/>
            <w:shd w:val="clear" w:color="auto" w:fill="auto"/>
            <w:vAlign w:val="center"/>
          </w:tcPr>
          <w:p>
            <w:pPr>
              <w:ind w:hanging="1"/>
              <w:jc w:val="right"/>
            </w:pPr>
            <w:r>
              <w:rPr>
                <w:b w:val="0"/>
                <w:i w:val="0"/>
                <w:strike w:val="0"/>
                <w:u w:val="none"/>
              </w:rPr>
              <w:t>39,953,939.29</w:t>
            </w:r>
          </w:p>
        </w:tc>
        <w:tc>
          <w:tcPr>
            <w:tcW w:w="2431" w:type="dxa"/>
            <w:shd w:val="clear" w:color="auto" w:fill="auto"/>
            <w:vAlign w:val="center"/>
          </w:tcPr>
          <w:p>
            <w:pPr>
              <w:ind w:hanging="1"/>
              <w:jc w:val="right"/>
            </w:pPr>
            <w:r>
              <w:rPr>
                <w:b w:val="0"/>
                <w:i w:val="0"/>
                <w:strike w:val="0"/>
                <w:u w:val="none"/>
              </w:rPr>
              <w:t>9.64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24兴蜀投资MTN001</w:t>
            </w:r>
          </w:p>
        </w:tc>
        <w:tc>
          <w:tcPr>
            <w:tcW w:w="2693" w:type="dxa"/>
            <w:shd w:val="clear" w:color="auto" w:fill="auto"/>
            <w:vAlign w:val="center"/>
          </w:tcPr>
          <w:p>
            <w:pPr>
              <w:ind w:hanging="1"/>
              <w:jc w:val="right"/>
            </w:pPr>
            <w:r>
              <w:rPr>
                <w:b w:val="0"/>
                <w:i w:val="0"/>
                <w:strike w:val="0"/>
                <w:u w:val="none"/>
              </w:rPr>
              <w:t>31,416,213.70</w:t>
            </w:r>
          </w:p>
        </w:tc>
        <w:tc>
          <w:tcPr>
            <w:tcW w:w="2431" w:type="dxa"/>
            <w:shd w:val="clear" w:color="auto" w:fill="auto"/>
            <w:vAlign w:val="center"/>
          </w:tcPr>
          <w:p>
            <w:pPr>
              <w:ind w:hanging="1"/>
              <w:jc w:val="right"/>
            </w:pPr>
            <w:r>
              <w:rPr>
                <w:b w:val="0"/>
                <w:i w:val="0"/>
                <w:strike w:val="0"/>
                <w:u w:val="none"/>
              </w:rPr>
              <w:t>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25上海银行CD041</w:t>
            </w:r>
          </w:p>
        </w:tc>
        <w:tc>
          <w:tcPr>
            <w:tcW w:w="2693" w:type="dxa"/>
            <w:shd w:val="clear" w:color="auto" w:fill="auto"/>
            <w:vAlign w:val="center"/>
          </w:tcPr>
          <w:p>
            <w:pPr>
              <w:ind w:hanging="1"/>
              <w:jc w:val="right"/>
            </w:pPr>
            <w:r>
              <w:rPr>
                <w:b w:val="0"/>
                <w:i w:val="0"/>
                <w:strike w:val="0"/>
                <w:u w:val="none"/>
              </w:rPr>
              <w:t>29,967,767.42</w:t>
            </w:r>
          </w:p>
        </w:tc>
        <w:tc>
          <w:tcPr>
            <w:tcW w:w="2431" w:type="dxa"/>
            <w:shd w:val="clear" w:color="auto" w:fill="auto"/>
            <w:vAlign w:val="center"/>
          </w:tcPr>
          <w:p>
            <w:pPr>
              <w:ind w:hanging="1"/>
              <w:jc w:val="right"/>
            </w:pPr>
            <w:r>
              <w:rPr>
                <w:b w:val="0"/>
                <w:i w:val="0"/>
                <w:strike w:val="0"/>
                <w:u w:val="none"/>
              </w:rPr>
              <w:t>7.23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24南充发展PPN001</w:t>
            </w:r>
          </w:p>
        </w:tc>
        <w:tc>
          <w:tcPr>
            <w:tcW w:w="2693" w:type="dxa"/>
            <w:shd w:val="clear" w:color="auto" w:fill="auto"/>
            <w:vAlign w:val="center"/>
          </w:tcPr>
          <w:p>
            <w:pPr>
              <w:ind w:hanging="1"/>
              <w:jc w:val="right"/>
            </w:pPr>
            <w:r>
              <w:rPr>
                <w:b w:val="0"/>
                <w:i w:val="0"/>
                <w:strike w:val="0"/>
                <w:u w:val="none"/>
              </w:rPr>
              <w:t>20,592,230.14</w:t>
            </w:r>
          </w:p>
        </w:tc>
        <w:tc>
          <w:tcPr>
            <w:tcW w:w="2431" w:type="dxa"/>
            <w:shd w:val="clear" w:color="auto" w:fill="auto"/>
            <w:vAlign w:val="center"/>
          </w:tcPr>
          <w:p>
            <w:pPr>
              <w:ind w:hanging="1"/>
              <w:jc w:val="right"/>
            </w:pPr>
            <w:r>
              <w:rPr>
                <w:b w:val="0"/>
                <w:i w:val="0"/>
                <w:strike w:val="0"/>
                <w:u w:val="none"/>
              </w:rPr>
              <w:t>4.97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24稠州商行CD040</w:t>
            </w:r>
          </w:p>
        </w:tc>
        <w:tc>
          <w:tcPr>
            <w:tcW w:w="2693" w:type="dxa"/>
            <w:shd w:val="clear" w:color="auto" w:fill="auto"/>
            <w:vAlign w:val="center"/>
          </w:tcPr>
          <w:p>
            <w:pPr>
              <w:ind w:hanging="1"/>
              <w:jc w:val="right"/>
            </w:pPr>
            <w:r>
              <w:rPr>
                <w:b w:val="0"/>
                <w:i w:val="0"/>
                <w:strike w:val="0"/>
                <w:u w:val="none"/>
              </w:rPr>
              <w:t>19,757,875.73</w:t>
            </w:r>
          </w:p>
        </w:tc>
        <w:tc>
          <w:tcPr>
            <w:tcW w:w="2431" w:type="dxa"/>
            <w:shd w:val="clear" w:color="auto" w:fill="auto"/>
            <w:vAlign w:val="center"/>
          </w:tcPr>
          <w:p>
            <w:pPr>
              <w:ind w:hanging="1"/>
              <w:jc w:val="right"/>
            </w:pPr>
            <w:r>
              <w:rPr>
                <w:b w:val="0"/>
                <w:i w:val="0"/>
                <w:strike w:val="0"/>
                <w:u w:val="none"/>
              </w:rPr>
              <w:t>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24绵兴02</w:t>
            </w:r>
          </w:p>
        </w:tc>
        <w:tc>
          <w:tcPr>
            <w:tcW w:w="2693" w:type="dxa"/>
            <w:shd w:val="clear" w:color="auto" w:fill="auto"/>
            <w:vAlign w:val="center"/>
          </w:tcPr>
          <w:p>
            <w:pPr>
              <w:ind w:hanging="1"/>
              <w:jc w:val="right"/>
            </w:pPr>
            <w:r>
              <w:rPr>
                <w:b w:val="0"/>
                <w:i w:val="0"/>
                <w:strike w:val="0"/>
                <w:u w:val="none"/>
              </w:rPr>
              <w:t>17,277,379.45</w:t>
            </w:r>
          </w:p>
        </w:tc>
        <w:tc>
          <w:tcPr>
            <w:tcW w:w="2431" w:type="dxa"/>
            <w:shd w:val="clear" w:color="auto" w:fill="auto"/>
            <w:vAlign w:val="center"/>
          </w:tcPr>
          <w:p>
            <w:pPr>
              <w:ind w:hanging="1"/>
              <w:jc w:val="right"/>
            </w:pPr>
            <w:r>
              <w:rPr>
                <w:b w:val="0"/>
                <w:i w:val="0"/>
                <w:strike w:val="0"/>
                <w:u w:val="none"/>
              </w:rPr>
              <w:t>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24泸投01</w:t>
            </w:r>
          </w:p>
        </w:tc>
        <w:tc>
          <w:tcPr>
            <w:tcW w:w="2693" w:type="dxa"/>
            <w:shd w:val="clear" w:color="auto" w:fill="auto"/>
            <w:vAlign w:val="center"/>
          </w:tcPr>
          <w:p>
            <w:pPr>
              <w:ind w:hanging="1"/>
              <w:jc w:val="right"/>
            </w:pPr>
            <w:r>
              <w:rPr>
                <w:b w:val="0"/>
                <w:i w:val="0"/>
                <w:strike w:val="0"/>
                <w:u w:val="none"/>
              </w:rPr>
              <w:t>15,399,300.00</w:t>
            </w:r>
          </w:p>
        </w:tc>
        <w:tc>
          <w:tcPr>
            <w:tcW w:w="2431" w:type="dxa"/>
            <w:shd w:val="clear" w:color="auto" w:fill="auto"/>
            <w:vAlign w:val="center"/>
          </w:tcPr>
          <w:p>
            <w:pPr>
              <w:ind w:hanging="1"/>
              <w:jc w:val="right"/>
            </w:pPr>
            <w:r>
              <w:rPr>
                <w:b w:val="0"/>
                <w:i w:val="0"/>
                <w:strike w:val="0"/>
                <w:u w:val="none"/>
              </w:rPr>
              <w:t>3.72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24泸临01</w:t>
            </w:r>
          </w:p>
        </w:tc>
        <w:tc>
          <w:tcPr>
            <w:tcW w:w="2693" w:type="dxa"/>
            <w:shd w:val="clear" w:color="auto" w:fill="auto"/>
            <w:vAlign w:val="center"/>
          </w:tcPr>
          <w:p>
            <w:pPr>
              <w:ind w:hanging="1"/>
              <w:jc w:val="right"/>
            </w:pPr>
            <w:r>
              <w:rPr>
                <w:b w:val="0"/>
                <w:i w:val="0"/>
                <w:strike w:val="0"/>
                <w:u w:val="none"/>
              </w:rPr>
              <w:t>15,080,971.23</w:t>
            </w:r>
          </w:p>
        </w:tc>
        <w:tc>
          <w:tcPr>
            <w:tcW w:w="2431" w:type="dxa"/>
            <w:shd w:val="clear" w:color="auto" w:fill="auto"/>
            <w:vAlign w:val="center"/>
          </w:tcPr>
          <w:p>
            <w:pPr>
              <w:ind w:hanging="1"/>
              <w:jc w:val="right"/>
            </w:pPr>
            <w:r>
              <w:rPr>
                <w:b w:val="0"/>
                <w:i w:val="0"/>
                <w:strike w:val="0"/>
                <w:u w:val="none"/>
              </w:rPr>
              <w:t>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23达州高科MTN001</w:t>
            </w:r>
          </w:p>
        </w:tc>
        <w:tc>
          <w:tcPr>
            <w:tcW w:w="2693" w:type="dxa"/>
            <w:shd w:val="clear" w:color="auto" w:fill="auto"/>
            <w:vAlign w:val="center"/>
          </w:tcPr>
          <w:p>
            <w:pPr>
              <w:ind w:hanging="1"/>
              <w:jc w:val="right"/>
            </w:pPr>
            <w:r>
              <w:rPr>
                <w:b w:val="0"/>
                <w:i w:val="0"/>
                <w:strike w:val="0"/>
                <w:u w:val="none"/>
              </w:rPr>
              <w:t>10,509,972.60</w:t>
            </w:r>
          </w:p>
        </w:tc>
        <w:tc>
          <w:tcPr>
            <w:tcW w:w="2431" w:type="dxa"/>
            <w:shd w:val="clear" w:color="auto" w:fill="auto"/>
            <w:vAlign w:val="center"/>
          </w:tcPr>
          <w:p>
            <w:pPr>
              <w:ind w:hanging="1"/>
              <w:jc w:val="right"/>
            </w:pPr>
            <w:r>
              <w:rPr>
                <w:b w:val="0"/>
                <w:i w:val="0"/>
                <w:strike w:val="0"/>
                <w:u w:val="none"/>
              </w:rPr>
              <w:t>2.54</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41C2DA8"/>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2025-04-07T02:05:59Z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