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四川银行定开系列6个月17号净值型理财产品</w:t>
      </w:r>
    </w:p>
    <w:p>
      <w:pPr>
        <w:jc w:val="center"/>
        <w:rPr>
          <w:rFonts w:ascii="宋体" w:hAnsi="宋体"/>
          <w:b/>
          <w:bCs/>
          <w:sz w:val="48"/>
          <w:szCs w:val="30"/>
        </w:rPr>
      </w:pPr>
      <w:r>
        <w:rPr>
          <w:rFonts w:ascii="宋体" w:hAnsi="宋体"/>
          <w:b/>
          <w:bCs/>
          <w:sz w:val="48"/>
          <w:szCs w:val="30"/>
        </w:rPr>
        <w:t>2025年第1季度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自2025-01-01起至2025-03-31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四川银行定开系列6个月17号净值型理财产品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2022-04-26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296,900,000.00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[2.45%-3.55%]/年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101.69%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四川银行-四川银行定开系列6个月17号净值型理财产品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2025-03-31</w:t>
            </w:r>
            <w:r>
              <w:rPr>
                <w:rFonts w:hint="eastAsia" w:ascii="宋体" w:hAnsi="宋体"/>
              </w:rPr>
              <w:t>）</w:t>
            </w:r>
          </w:p>
        </w:tc>
        <w:tc>
          <w:tcPr>
            <w:tcW w:w="5103" w:type="dxa"/>
            <w:vAlign w:val="center"/>
          </w:tcPr>
          <w:p>
            <w:pPr>
              <w:jc w:val="right"/>
            </w:pPr>
            <w:r>
              <w:t>0.57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10.49</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2,596,895.24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本期利润</w:t>
            </w:r>
          </w:p>
        </w:tc>
        <w:tc>
          <w:tcPr>
            <w:tcW w:w="5027" w:type="dxa"/>
            <w:shd w:val="clear" w:color="auto" w:fill="auto"/>
            <w:vAlign w:val="center"/>
          </w:tcPr>
          <w:p>
            <w:pPr>
              <w:ind w:hanging="1"/>
              <w:jc w:val="right"/>
            </w:pPr>
            <w:r>
              <w:rPr>
                <w:b w:val="0"/>
                <w:i w:val="0"/>
                <w:strike w:val="0"/>
                <w:u w:val="none"/>
              </w:rPr>
              <w:t>1,873,982.85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300,159,419.00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300,159,419.00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1.1049</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222,902,602.92</w:t>
            </w:r>
          </w:p>
        </w:tc>
        <w:tc>
          <w:tcPr>
            <w:tcW w:w="1749" w:type="dxa"/>
            <w:shd w:val="clear" w:color="auto" w:fill="auto"/>
            <w:vAlign w:val="center"/>
          </w:tcPr>
          <w:p>
            <w:pPr>
              <w:jc w:val="right"/>
            </w:pPr>
            <w:r>
              <w:t>73.03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222,902,602.92</w:t>
            </w:r>
          </w:p>
        </w:tc>
        <w:tc>
          <w:tcPr>
            <w:tcW w:w="1749" w:type="dxa"/>
            <w:shd w:val="clear" w:color="auto" w:fill="auto"/>
            <w:vAlign w:val="center"/>
          </w:tcPr>
          <w:p>
            <w:pPr>
              <w:jc w:val="right"/>
            </w:pPr>
            <w:r>
              <w:t>73.03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60,014,454.36</w:t>
            </w:r>
          </w:p>
        </w:tc>
        <w:tc>
          <w:tcPr>
            <w:tcW w:w="1749" w:type="dxa"/>
            <w:shd w:val="clear" w:color="auto" w:fill="auto"/>
            <w:vAlign w:val="center"/>
          </w:tcPr>
          <w:p>
            <w:pPr>
              <w:jc w:val="right"/>
            </w:pPr>
            <w:r>
              <w:t>19.66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22,274,319.85</w:t>
            </w:r>
          </w:p>
        </w:tc>
        <w:tc>
          <w:tcPr>
            <w:tcW w:w="1749" w:type="dxa"/>
            <w:shd w:val="clear" w:color="auto" w:fill="auto"/>
            <w:vAlign w:val="center"/>
          </w:tcPr>
          <w:p>
            <w:pPr>
              <w:jc w:val="right"/>
            </w:pPr>
            <w:r>
              <w:t>7.30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25,931.32</w:t>
            </w:r>
          </w:p>
        </w:tc>
        <w:tc>
          <w:tcPr>
            <w:tcW w:w="1749" w:type="dxa"/>
            <w:shd w:val="clear" w:color="auto" w:fill="auto"/>
            <w:vAlign w:val="center"/>
          </w:tcPr>
          <w:p>
            <w:pPr>
              <w:jc w:val="right"/>
            </w:pPr>
            <w:r>
              <w:t>0.01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305,217,308.45</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60,014,454.36</w:t>
            </w:r>
          </w:p>
        </w:tc>
        <w:tc>
          <w:tcPr>
            <w:tcW w:w="2431" w:type="dxa"/>
            <w:shd w:val="clear" w:color="auto" w:fill="auto"/>
            <w:vAlign w:val="center"/>
          </w:tcPr>
          <w:p>
            <w:pPr>
              <w:jc w:val="right"/>
            </w:pPr>
            <w:bookmarkStart w:id="3" w:name="OLE_LINK6"/>
            <w:bookmarkEnd w:id="3"/>
            <w:bookmarkStart w:id="4" w:name="OLE_LINK5"/>
            <w:bookmarkEnd w:id="4"/>
            <w:r>
              <w:rPr>
                <w:rFonts w:hint="eastAsia"/>
              </w:rPr>
              <w:t>19.99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24绵兴02</w:t>
            </w:r>
          </w:p>
        </w:tc>
        <w:tc>
          <w:tcPr>
            <w:tcW w:w="2693" w:type="dxa"/>
            <w:shd w:val="clear" w:color="auto" w:fill="auto"/>
            <w:vAlign w:val="center"/>
          </w:tcPr>
          <w:p>
            <w:pPr>
              <w:ind w:hanging="1"/>
              <w:jc w:val="right"/>
            </w:pPr>
            <w:r>
              <w:rPr>
                <w:b w:val="0"/>
                <w:i w:val="0"/>
                <w:strike w:val="0"/>
                <w:u w:val="none"/>
              </w:rPr>
              <w:t>16,261,063.01</w:t>
            </w:r>
          </w:p>
        </w:tc>
        <w:tc>
          <w:tcPr>
            <w:tcW w:w="2431" w:type="dxa"/>
            <w:shd w:val="clear" w:color="auto" w:fill="auto"/>
            <w:vAlign w:val="center"/>
          </w:tcPr>
          <w:p>
            <w:pPr>
              <w:ind w:hanging="1"/>
              <w:jc w:val="right"/>
            </w:pPr>
            <w:r>
              <w:rPr>
                <w:b w:val="0"/>
                <w:i w:val="0"/>
                <w:strike w:val="0"/>
                <w:u w:val="none"/>
              </w:rPr>
              <w:t>5.42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24泸投01</w:t>
            </w:r>
          </w:p>
        </w:tc>
        <w:tc>
          <w:tcPr>
            <w:tcW w:w="2693" w:type="dxa"/>
            <w:shd w:val="clear" w:color="auto" w:fill="auto"/>
            <w:vAlign w:val="center"/>
          </w:tcPr>
          <w:p>
            <w:pPr>
              <w:ind w:hanging="1"/>
              <w:jc w:val="right"/>
            </w:pPr>
            <w:r>
              <w:rPr>
                <w:b w:val="0"/>
                <w:i w:val="0"/>
                <w:strike w:val="0"/>
                <w:u w:val="none"/>
              </w:rPr>
              <w:t>15,399,300.00</w:t>
            </w:r>
          </w:p>
        </w:tc>
        <w:tc>
          <w:tcPr>
            <w:tcW w:w="2431" w:type="dxa"/>
            <w:shd w:val="clear" w:color="auto" w:fill="auto"/>
            <w:vAlign w:val="center"/>
          </w:tcPr>
          <w:p>
            <w:pPr>
              <w:ind w:hanging="1"/>
              <w:jc w:val="right"/>
            </w:pPr>
            <w:r>
              <w:rPr>
                <w:b w:val="0"/>
                <w:i w:val="0"/>
                <w:strike w:val="0"/>
                <w:u w:val="none"/>
              </w:rPr>
              <w:t>5.13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24泸临01</w:t>
            </w:r>
          </w:p>
        </w:tc>
        <w:tc>
          <w:tcPr>
            <w:tcW w:w="2693" w:type="dxa"/>
            <w:shd w:val="clear" w:color="auto" w:fill="auto"/>
            <w:vAlign w:val="center"/>
          </w:tcPr>
          <w:p>
            <w:pPr>
              <w:ind w:hanging="1"/>
              <w:jc w:val="right"/>
            </w:pPr>
            <w:r>
              <w:rPr>
                <w:b w:val="0"/>
                <w:i w:val="0"/>
                <w:strike w:val="0"/>
                <w:u w:val="none"/>
              </w:rPr>
              <w:t>15,080,971.23</w:t>
            </w:r>
          </w:p>
        </w:tc>
        <w:tc>
          <w:tcPr>
            <w:tcW w:w="2431" w:type="dxa"/>
            <w:shd w:val="clear" w:color="auto" w:fill="auto"/>
            <w:vAlign w:val="center"/>
          </w:tcPr>
          <w:p>
            <w:pPr>
              <w:ind w:hanging="1"/>
              <w:jc w:val="right"/>
            </w:pPr>
            <w:r>
              <w:rPr>
                <w:b w:val="0"/>
                <w:i w:val="0"/>
                <w:strike w:val="0"/>
                <w:u w:val="none"/>
              </w:rPr>
              <w:t>5.02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24广西北部湾银行CD107</w:t>
            </w:r>
          </w:p>
        </w:tc>
        <w:tc>
          <w:tcPr>
            <w:tcW w:w="2693" w:type="dxa"/>
            <w:shd w:val="clear" w:color="auto" w:fill="auto"/>
            <w:vAlign w:val="center"/>
          </w:tcPr>
          <w:p>
            <w:pPr>
              <w:ind w:hanging="1"/>
              <w:jc w:val="right"/>
            </w:pPr>
            <w:r>
              <w:rPr>
                <w:b w:val="0"/>
                <w:i w:val="0"/>
                <w:strike w:val="0"/>
                <w:u w:val="none"/>
              </w:rPr>
              <w:t>14,986,722.25</w:t>
            </w:r>
          </w:p>
        </w:tc>
        <w:tc>
          <w:tcPr>
            <w:tcW w:w="2431" w:type="dxa"/>
            <w:shd w:val="clear" w:color="auto" w:fill="auto"/>
            <w:vAlign w:val="center"/>
          </w:tcPr>
          <w:p>
            <w:pPr>
              <w:ind w:hanging="1"/>
              <w:jc w:val="right"/>
            </w:pPr>
            <w:r>
              <w:rPr>
                <w:b w:val="0"/>
                <w:i w:val="0"/>
                <w:strike w:val="0"/>
                <w:u w:val="none"/>
              </w:rPr>
              <w:t>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24郫国投MTN002</w:t>
            </w:r>
          </w:p>
        </w:tc>
        <w:tc>
          <w:tcPr>
            <w:tcW w:w="2693" w:type="dxa"/>
            <w:shd w:val="clear" w:color="auto" w:fill="auto"/>
            <w:vAlign w:val="center"/>
          </w:tcPr>
          <w:p>
            <w:pPr>
              <w:ind w:hanging="1"/>
              <w:jc w:val="right"/>
            </w:pPr>
            <w:r>
              <w:rPr>
                <w:b w:val="0"/>
                <w:i w:val="0"/>
                <w:strike w:val="0"/>
                <w:u w:val="none"/>
              </w:rPr>
              <w:t>14,234,873.97</w:t>
            </w:r>
          </w:p>
        </w:tc>
        <w:tc>
          <w:tcPr>
            <w:tcW w:w="2431" w:type="dxa"/>
            <w:shd w:val="clear" w:color="auto" w:fill="auto"/>
            <w:vAlign w:val="center"/>
          </w:tcPr>
          <w:p>
            <w:pPr>
              <w:ind w:hanging="1"/>
              <w:jc w:val="right"/>
            </w:pPr>
            <w:r>
              <w:rPr>
                <w:b w:val="0"/>
                <w:i w:val="0"/>
                <w:strike w:val="0"/>
                <w:u w:val="none"/>
              </w:rPr>
              <w:t>4.74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24香发01</w:t>
            </w:r>
          </w:p>
        </w:tc>
        <w:tc>
          <w:tcPr>
            <w:tcW w:w="2693" w:type="dxa"/>
            <w:shd w:val="clear" w:color="auto" w:fill="auto"/>
            <w:vAlign w:val="center"/>
          </w:tcPr>
          <w:p>
            <w:pPr>
              <w:ind w:hanging="1"/>
              <w:jc w:val="right"/>
            </w:pPr>
            <w:r>
              <w:rPr>
                <w:b w:val="0"/>
                <w:i w:val="0"/>
                <w:strike w:val="0"/>
                <w:u w:val="none"/>
              </w:rPr>
              <w:t>13,436,301.37</w:t>
            </w:r>
          </w:p>
        </w:tc>
        <w:tc>
          <w:tcPr>
            <w:tcW w:w="2431" w:type="dxa"/>
            <w:shd w:val="clear" w:color="auto" w:fill="auto"/>
            <w:vAlign w:val="center"/>
          </w:tcPr>
          <w:p>
            <w:pPr>
              <w:ind w:hanging="1"/>
              <w:jc w:val="right"/>
            </w:pPr>
            <w:r>
              <w:rPr>
                <w:b w:val="0"/>
                <w:i w:val="0"/>
                <w:strike w:val="0"/>
                <w:u w:val="none"/>
              </w:rPr>
              <w:t>4.48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24浙江泰隆商行CD018</w:t>
            </w:r>
          </w:p>
        </w:tc>
        <w:tc>
          <w:tcPr>
            <w:tcW w:w="2693" w:type="dxa"/>
            <w:shd w:val="clear" w:color="auto" w:fill="auto"/>
            <w:vAlign w:val="center"/>
          </w:tcPr>
          <w:p>
            <w:pPr>
              <w:ind w:hanging="1"/>
              <w:jc w:val="right"/>
            </w:pPr>
            <w:r>
              <w:rPr>
                <w:b w:val="0"/>
                <w:i w:val="0"/>
                <w:strike w:val="0"/>
                <w:u w:val="none"/>
              </w:rPr>
              <w:t>12,986,045.19</w:t>
            </w:r>
          </w:p>
        </w:tc>
        <w:tc>
          <w:tcPr>
            <w:tcW w:w="2431" w:type="dxa"/>
            <w:shd w:val="clear" w:color="auto" w:fill="auto"/>
            <w:vAlign w:val="center"/>
          </w:tcPr>
          <w:p>
            <w:pPr>
              <w:ind w:hanging="1"/>
              <w:jc w:val="right"/>
            </w:pPr>
            <w:r>
              <w:rPr>
                <w:b w:val="0"/>
                <w:i w:val="0"/>
                <w:strike w:val="0"/>
                <w:u w:val="none"/>
              </w:rPr>
              <w:t>4.33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23彭城01</w:t>
            </w:r>
          </w:p>
        </w:tc>
        <w:tc>
          <w:tcPr>
            <w:tcW w:w="2693" w:type="dxa"/>
            <w:shd w:val="clear" w:color="auto" w:fill="auto"/>
            <w:vAlign w:val="center"/>
          </w:tcPr>
          <w:p>
            <w:pPr>
              <w:ind w:hanging="1"/>
              <w:jc w:val="right"/>
            </w:pPr>
            <w:r>
              <w:rPr>
                <w:b w:val="0"/>
                <w:i w:val="0"/>
                <w:strike w:val="0"/>
                <w:u w:val="none"/>
              </w:rPr>
              <w:t>12,832,254.25</w:t>
            </w:r>
          </w:p>
        </w:tc>
        <w:tc>
          <w:tcPr>
            <w:tcW w:w="2431" w:type="dxa"/>
            <w:shd w:val="clear" w:color="auto" w:fill="auto"/>
            <w:vAlign w:val="center"/>
          </w:tcPr>
          <w:p>
            <w:pPr>
              <w:ind w:hanging="1"/>
              <w:jc w:val="right"/>
            </w:pPr>
            <w:r>
              <w:rPr>
                <w:b w:val="0"/>
                <w:i w:val="0"/>
                <w:strike w:val="0"/>
                <w:u w:val="none"/>
              </w:rPr>
              <w:t>4.28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24龙驰01</w:t>
            </w:r>
          </w:p>
        </w:tc>
        <w:tc>
          <w:tcPr>
            <w:tcW w:w="2693" w:type="dxa"/>
            <w:shd w:val="clear" w:color="auto" w:fill="auto"/>
            <w:vAlign w:val="center"/>
          </w:tcPr>
          <w:p>
            <w:pPr>
              <w:ind w:hanging="1"/>
              <w:jc w:val="right"/>
            </w:pPr>
            <w:r>
              <w:rPr>
                <w:b w:val="0"/>
                <w:i w:val="0"/>
                <w:strike w:val="0"/>
                <w:u w:val="none"/>
              </w:rPr>
              <w:t>12,685,873.97</w:t>
            </w:r>
          </w:p>
        </w:tc>
        <w:tc>
          <w:tcPr>
            <w:tcW w:w="2431" w:type="dxa"/>
            <w:shd w:val="clear" w:color="auto" w:fill="auto"/>
            <w:vAlign w:val="center"/>
          </w:tcPr>
          <w:p>
            <w:pPr>
              <w:ind w:hanging="1"/>
              <w:jc w:val="right"/>
            </w:pPr>
            <w:r>
              <w:rPr>
                <w:b w:val="0"/>
                <w:i w:val="0"/>
                <w:strike w:val="0"/>
                <w:u w:val="none"/>
              </w:rPr>
              <w:t>4.23</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rPr>
        <w:t>。</w:t>
      </w:r>
    </w:p>
    <w:p>
      <w:pPr>
        <w:spacing w:line="360" w:lineRule="auto"/>
        <w:ind w:right="-107" w:rightChars="-51" w:firstLine="420" w:firstLineChars="200"/>
        <w:jc w:val="left"/>
        <w:rPr>
          <w:rFonts w:hint="eastAsia" w:ascii="宋体" w:hAnsi="宋体"/>
          <w:szCs w:val="21"/>
        </w:rPr>
      </w:pPr>
      <w:bookmarkStart w:id="5" w:name="_GoBack"/>
      <w:bookmarkEnd w:id="5"/>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28142947"/>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2025-04-07T02:06:58Z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