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四川银行定开系列6个月15号净值型理财产品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231,858,000.00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10.58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1,935,392.38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1,501,038.18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234,785,445.96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234,785,445.96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1.1058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109,322,400.67</w:t>
            </w:r>
          </w:p>
        </w:tc>
        <w:tc>
          <w:tcPr>
            <w:tcW w:w="1749" w:type="dxa"/>
            <w:shd w:val="clear" w:color="auto" w:fill="auto"/>
            <w:vAlign w:val="center"/>
          </w:tcPr>
          <w:p>
            <w:pPr>
              <w:jc w:val="right"/>
            </w:pPr>
            <w:r>
              <w:t>46.23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109,322,400.67</w:t>
            </w:r>
          </w:p>
        </w:tc>
        <w:tc>
          <w:tcPr>
            <w:tcW w:w="1749" w:type="dxa"/>
            <w:shd w:val="clear" w:color="auto" w:fill="auto"/>
            <w:vAlign w:val="center"/>
          </w:tcPr>
          <w:p>
            <w:pPr>
              <w:jc w:val="right"/>
            </w:pPr>
            <w:r>
              <w:t>46.23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10,002,409.08</w:t>
            </w:r>
          </w:p>
        </w:tc>
        <w:tc>
          <w:tcPr>
            <w:tcW w:w="1749" w:type="dxa"/>
            <w:shd w:val="clear" w:color="auto" w:fill="auto"/>
            <w:vAlign w:val="center"/>
          </w:tcPr>
          <w:p>
            <w:pPr>
              <w:jc w:val="right"/>
            </w:pPr>
            <w:r>
              <w:t>4.23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15,973,540.72</w:t>
            </w:r>
          </w:p>
        </w:tc>
        <w:tc>
          <w:tcPr>
            <w:tcW w:w="1749" w:type="dxa"/>
            <w:shd w:val="clear" w:color="auto" w:fill="auto"/>
            <w:vAlign w:val="center"/>
          </w:tcPr>
          <w:p>
            <w:pPr>
              <w:jc w:val="right"/>
            </w:pPr>
            <w:r>
              <w:t>6.75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hint="eastAsia" w:eastAsia="宋体"/>
                <w:lang w:eastAsia="zh-CN"/>
              </w:rPr>
            </w:pPr>
            <w:r>
              <w:t>101,</w:t>
            </w:r>
            <w:r>
              <w:rPr>
                <w:rFonts w:hint="eastAsia"/>
                <w:lang w:val="en-US" w:eastAsia="zh-CN"/>
              </w:rPr>
              <w:t>176</w:t>
            </w:r>
            <w:r>
              <w:t>,</w:t>
            </w:r>
            <w:r>
              <w:rPr>
                <w:rFonts w:hint="eastAsia"/>
                <w:lang w:val="en-US" w:eastAsia="zh-CN"/>
              </w:rPr>
              <w:t>015</w:t>
            </w:r>
            <w:r>
              <w:t>.1</w:t>
            </w:r>
            <w:r>
              <w:rPr>
                <w:rFonts w:hint="eastAsia"/>
                <w:lang w:val="en-US" w:eastAsia="zh-CN"/>
              </w:rPr>
              <w:t>1</w:t>
            </w:r>
          </w:p>
        </w:tc>
        <w:tc>
          <w:tcPr>
            <w:tcW w:w="1749" w:type="dxa"/>
            <w:shd w:val="clear" w:color="auto" w:fill="auto"/>
            <w:vAlign w:val="center"/>
          </w:tcPr>
          <w:p>
            <w:pPr>
              <w:jc w:val="right"/>
              <w:rPr>
                <w:rFonts w:hint="eastAsia" w:eastAsia="宋体"/>
                <w:lang w:eastAsia="zh-CN"/>
              </w:rPr>
            </w:pPr>
            <w:r>
              <w:t>42.7</w:t>
            </w:r>
            <w:r>
              <w:rPr>
                <w:rFonts w:hint="eastAsia"/>
                <w:lang w:val="en-US" w:eastAsia="zh-CN"/>
              </w:rPr>
              <w:t>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hint="default" w:eastAsia="宋体"/>
                <w:lang w:val="en-US" w:eastAsia="zh-CN"/>
              </w:rPr>
            </w:pPr>
            <w:r>
              <w:rPr>
                <w:rFonts w:hint="eastAsia"/>
                <w:lang w:val="en-US" w:eastAsia="zh-CN"/>
              </w:rPr>
              <w:t>11</w:t>
            </w:r>
            <w:r>
              <w:t>,9</w:t>
            </w:r>
            <w:r>
              <w:rPr>
                <w:rFonts w:hint="eastAsia"/>
                <w:lang w:val="en-US" w:eastAsia="zh-CN"/>
              </w:rPr>
              <w:t>83</w:t>
            </w:r>
            <w:r>
              <w:t>.</w:t>
            </w:r>
            <w:r>
              <w:rPr>
                <w:rFonts w:hint="eastAsia"/>
                <w:lang w:val="en-US" w:eastAsia="zh-CN"/>
              </w:rPr>
              <w:t>03</w:t>
            </w:r>
          </w:p>
        </w:tc>
        <w:tc>
          <w:tcPr>
            <w:tcW w:w="1749" w:type="dxa"/>
            <w:shd w:val="clear" w:color="auto" w:fill="auto"/>
            <w:vAlign w:val="center"/>
          </w:tcPr>
          <w:p>
            <w:pPr>
              <w:jc w:val="right"/>
              <w:rPr>
                <w:rFonts w:hint="default" w:eastAsia="宋体"/>
                <w:lang w:val="en-US" w:eastAsia="zh-CN"/>
              </w:rPr>
            </w:pPr>
            <w:r>
              <w:rPr>
                <w:rFonts w:hint="eastAsia"/>
                <w:lang w:val="en-US" w:eastAsia="zh-CN"/>
              </w:rP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236,486,348.61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四川锦程消费金融有限责任公司-同业借款20241014</w:t>
            </w:r>
          </w:p>
        </w:tc>
        <w:tc>
          <w:tcPr>
            <w:tcW w:w="2693" w:type="dxa"/>
            <w:shd w:val="clear" w:color="auto" w:fill="auto"/>
            <w:vAlign w:val="center"/>
          </w:tcPr>
          <w:p>
            <w:pPr>
              <w:jc w:val="right"/>
            </w:pPr>
            <w:r>
              <w:t>101,176,015.11</w:t>
            </w:r>
          </w:p>
        </w:tc>
        <w:tc>
          <w:tcPr>
            <w:tcW w:w="2431" w:type="dxa"/>
            <w:shd w:val="clear" w:color="auto" w:fill="auto"/>
            <w:vAlign w:val="center"/>
          </w:tcPr>
          <w:p>
            <w:pPr>
              <w:jc w:val="right"/>
            </w:pPr>
            <w:bookmarkStart w:id="3" w:name="OLE_LINK5"/>
            <w:bookmarkEnd w:id="3"/>
            <w:bookmarkStart w:id="4" w:name="OLE_LINK6"/>
            <w:bookmarkEnd w:id="4"/>
            <w:r>
              <w:rPr>
                <w:rFonts w:hint="eastAsia"/>
              </w:rPr>
              <w:t>43.09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25上海银行CD041</w:t>
            </w:r>
          </w:p>
        </w:tc>
        <w:tc>
          <w:tcPr>
            <w:tcW w:w="2693" w:type="dxa"/>
            <w:shd w:val="clear" w:color="auto" w:fill="auto"/>
            <w:vAlign w:val="center"/>
          </w:tcPr>
          <w:p>
            <w:pPr>
              <w:ind w:hanging="1"/>
              <w:jc w:val="right"/>
            </w:pPr>
            <w:r>
              <w:rPr>
                <w:b w:val="0"/>
                <w:i w:val="0"/>
                <w:strike w:val="0"/>
                <w:u w:val="none"/>
              </w:rPr>
              <w:t>19,978,511.61</w:t>
            </w:r>
          </w:p>
        </w:tc>
        <w:tc>
          <w:tcPr>
            <w:tcW w:w="2431" w:type="dxa"/>
            <w:shd w:val="clear" w:color="auto" w:fill="auto"/>
            <w:vAlign w:val="center"/>
          </w:tcPr>
          <w:p>
            <w:pPr>
              <w:ind w:hanging="1"/>
              <w:jc w:val="right"/>
            </w:pPr>
            <w:r>
              <w:rPr>
                <w:b w:val="0"/>
                <w:i w:val="0"/>
                <w:strike w:val="0"/>
                <w:u w:val="none"/>
              </w:rPr>
              <w:t>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24阜阳债</w:t>
            </w:r>
          </w:p>
        </w:tc>
        <w:tc>
          <w:tcPr>
            <w:tcW w:w="2693" w:type="dxa"/>
            <w:shd w:val="clear" w:color="auto" w:fill="auto"/>
            <w:vAlign w:val="center"/>
          </w:tcPr>
          <w:p>
            <w:pPr>
              <w:ind w:hanging="1"/>
              <w:jc w:val="right"/>
            </w:pPr>
            <w:r>
              <w:rPr>
                <w:b w:val="0"/>
                <w:i w:val="0"/>
                <w:strike w:val="0"/>
                <w:u w:val="none"/>
              </w:rPr>
              <w:t>13,795,956.16</w:t>
            </w:r>
          </w:p>
        </w:tc>
        <w:tc>
          <w:tcPr>
            <w:tcW w:w="2431" w:type="dxa"/>
            <w:shd w:val="clear" w:color="auto" w:fill="auto"/>
            <w:vAlign w:val="center"/>
          </w:tcPr>
          <w:p>
            <w:pPr>
              <w:ind w:hanging="1"/>
              <w:jc w:val="right"/>
            </w:pPr>
            <w:r>
              <w:rPr>
                <w:b w:val="0"/>
                <w:i w:val="0"/>
                <w:strike w:val="0"/>
                <w:u w:val="none"/>
              </w:rPr>
              <w:t>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24厦门国际银行CD090</w:t>
            </w:r>
          </w:p>
        </w:tc>
        <w:tc>
          <w:tcPr>
            <w:tcW w:w="2693" w:type="dxa"/>
            <w:shd w:val="clear" w:color="auto" w:fill="auto"/>
            <w:vAlign w:val="center"/>
          </w:tcPr>
          <w:p>
            <w:pPr>
              <w:ind w:hanging="1"/>
              <w:jc w:val="right"/>
            </w:pPr>
            <w:r>
              <w:rPr>
                <w:b w:val="0"/>
                <w:i w:val="0"/>
                <w:strike w:val="0"/>
                <w:u w:val="none"/>
              </w:rPr>
              <w:t>11,985,383.80</w:t>
            </w:r>
          </w:p>
        </w:tc>
        <w:tc>
          <w:tcPr>
            <w:tcW w:w="2431" w:type="dxa"/>
            <w:shd w:val="clear" w:color="auto" w:fill="auto"/>
            <w:vAlign w:val="center"/>
          </w:tcPr>
          <w:p>
            <w:pPr>
              <w:ind w:hanging="1"/>
              <w:jc w:val="right"/>
            </w:pPr>
            <w:r>
              <w:rPr>
                <w:b w:val="0"/>
                <w:i w:val="0"/>
                <w:strike w:val="0"/>
                <w:u w:val="none"/>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10,307,287.67</w:t>
            </w:r>
          </w:p>
        </w:tc>
        <w:tc>
          <w:tcPr>
            <w:tcW w:w="2431" w:type="dxa"/>
            <w:shd w:val="clear" w:color="auto" w:fill="auto"/>
            <w:vAlign w:val="center"/>
          </w:tcPr>
          <w:p>
            <w:pPr>
              <w:ind w:hanging="1"/>
              <w:jc w:val="right"/>
            </w:pPr>
            <w:r>
              <w:rPr>
                <w:b w:val="0"/>
                <w:i w:val="0"/>
                <w:strike w:val="0"/>
                <w:u w:val="none"/>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25内桥01</w:t>
            </w:r>
          </w:p>
        </w:tc>
        <w:tc>
          <w:tcPr>
            <w:tcW w:w="2693" w:type="dxa"/>
            <w:shd w:val="clear" w:color="auto" w:fill="auto"/>
            <w:vAlign w:val="center"/>
          </w:tcPr>
          <w:p>
            <w:pPr>
              <w:ind w:hanging="1"/>
              <w:jc w:val="right"/>
            </w:pPr>
            <w:r>
              <w:rPr>
                <w:b w:val="0"/>
                <w:i w:val="0"/>
                <w:strike w:val="0"/>
                <w:u w:val="none"/>
              </w:rPr>
              <w:t>10,003,931.51</w:t>
            </w:r>
          </w:p>
        </w:tc>
        <w:tc>
          <w:tcPr>
            <w:tcW w:w="2431" w:type="dxa"/>
            <w:shd w:val="clear" w:color="auto" w:fill="auto"/>
            <w:vAlign w:val="center"/>
          </w:tcPr>
          <w:p>
            <w:pPr>
              <w:ind w:hanging="1"/>
              <w:jc w:val="right"/>
            </w:pPr>
            <w:r>
              <w:rPr>
                <w:b w:val="0"/>
                <w:i w:val="0"/>
                <w:strike w:val="0"/>
                <w:u w:val="none"/>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GC007</w:t>
            </w:r>
          </w:p>
        </w:tc>
        <w:tc>
          <w:tcPr>
            <w:tcW w:w="2693" w:type="dxa"/>
            <w:shd w:val="clear" w:color="auto" w:fill="auto"/>
            <w:vAlign w:val="center"/>
          </w:tcPr>
          <w:p>
            <w:pPr>
              <w:ind w:hanging="1"/>
              <w:jc w:val="right"/>
            </w:pPr>
            <w:r>
              <w:rPr>
                <w:b w:val="0"/>
                <w:i w:val="0"/>
                <w:strike w:val="0"/>
                <w:u w:val="none"/>
              </w:rPr>
              <w:t>10,002,409.08</w:t>
            </w:r>
          </w:p>
        </w:tc>
        <w:tc>
          <w:tcPr>
            <w:tcW w:w="2431" w:type="dxa"/>
            <w:shd w:val="clear" w:color="auto" w:fill="auto"/>
            <w:vAlign w:val="center"/>
          </w:tcPr>
          <w:p>
            <w:pPr>
              <w:ind w:hanging="1"/>
              <w:jc w:val="right"/>
            </w:pPr>
            <w:r>
              <w:rPr>
                <w:b w:val="0"/>
                <w:i w:val="0"/>
                <w:strike w:val="0"/>
                <w:u w:val="none"/>
              </w:rPr>
              <w:t>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24重庆三峡银行CD068</w:t>
            </w:r>
          </w:p>
        </w:tc>
        <w:tc>
          <w:tcPr>
            <w:tcW w:w="2693" w:type="dxa"/>
            <w:shd w:val="clear" w:color="auto" w:fill="auto"/>
            <w:vAlign w:val="center"/>
          </w:tcPr>
          <w:p>
            <w:pPr>
              <w:ind w:hanging="1"/>
              <w:jc w:val="right"/>
            </w:pPr>
            <w:r>
              <w:rPr>
                <w:b w:val="0"/>
                <w:i w:val="0"/>
                <w:strike w:val="0"/>
                <w:u w:val="none"/>
              </w:rPr>
              <w:t>9,916,935.67</w:t>
            </w:r>
          </w:p>
        </w:tc>
        <w:tc>
          <w:tcPr>
            <w:tcW w:w="2431" w:type="dxa"/>
            <w:shd w:val="clear" w:color="auto" w:fill="auto"/>
            <w:vAlign w:val="center"/>
          </w:tcPr>
          <w:p>
            <w:pPr>
              <w:ind w:hanging="1"/>
              <w:jc w:val="right"/>
            </w:pPr>
            <w:r>
              <w:rPr>
                <w:b w:val="0"/>
                <w:i w:val="0"/>
                <w:strike w:val="0"/>
                <w:u w:val="none"/>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24新津城乡PPN001B</w:t>
            </w:r>
          </w:p>
        </w:tc>
        <w:tc>
          <w:tcPr>
            <w:tcW w:w="2693" w:type="dxa"/>
            <w:shd w:val="clear" w:color="auto" w:fill="auto"/>
            <w:vAlign w:val="center"/>
          </w:tcPr>
          <w:p>
            <w:pPr>
              <w:ind w:hanging="1"/>
              <w:jc w:val="right"/>
            </w:pPr>
            <w:r>
              <w:rPr>
                <w:b w:val="0"/>
                <w:i w:val="0"/>
                <w:strike w:val="0"/>
                <w:u w:val="none"/>
              </w:rPr>
              <w:t>7,141,121.92</w:t>
            </w:r>
          </w:p>
        </w:tc>
        <w:tc>
          <w:tcPr>
            <w:tcW w:w="2431" w:type="dxa"/>
            <w:shd w:val="clear" w:color="auto" w:fill="auto"/>
            <w:vAlign w:val="center"/>
          </w:tcPr>
          <w:p>
            <w:pPr>
              <w:ind w:hanging="1"/>
              <w:jc w:val="right"/>
            </w:pPr>
            <w:r>
              <w:rPr>
                <w:b w:val="0"/>
                <w:i w:val="0"/>
                <w:strike w:val="0"/>
                <w:u w:val="none"/>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23彭城01</w:t>
            </w:r>
          </w:p>
        </w:tc>
        <w:tc>
          <w:tcPr>
            <w:tcW w:w="2693" w:type="dxa"/>
            <w:shd w:val="clear" w:color="auto" w:fill="auto"/>
            <w:vAlign w:val="center"/>
          </w:tcPr>
          <w:p>
            <w:pPr>
              <w:ind w:hanging="1"/>
              <w:jc w:val="right"/>
            </w:pPr>
            <w:r>
              <w:rPr>
                <w:b w:val="0"/>
                <w:i w:val="0"/>
                <w:strike w:val="0"/>
                <w:u w:val="none"/>
              </w:rPr>
              <w:t>6,416,127.12</w:t>
            </w:r>
          </w:p>
        </w:tc>
        <w:tc>
          <w:tcPr>
            <w:tcW w:w="2431" w:type="dxa"/>
            <w:shd w:val="clear" w:color="auto" w:fill="auto"/>
            <w:vAlign w:val="center"/>
          </w:tcPr>
          <w:p>
            <w:pPr>
              <w:ind w:hanging="1"/>
              <w:jc w:val="right"/>
            </w:pPr>
            <w:r>
              <w:rPr>
                <w:b w:val="0"/>
                <w:i w:val="0"/>
                <w:strike w:val="0"/>
                <w:u w:val="none"/>
              </w:rPr>
              <w:t>2.73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bookmarkStart w:id="5" w:name="_GoBack"/>
      <w:bookmarkEnd w:id="5"/>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宋体" w:hAnsi="宋体"/>
          <w:szCs w:val="21"/>
          <w:lang w:val="en-US" w:eastAsia="zh-CN"/>
        </w:rPr>
        <w:t>本报告期末，本产品投资的25内桥01、</w:t>
      </w:r>
      <w:r>
        <w:rPr>
          <w:rFonts w:hint="eastAsia" w:ascii="宋体" w:hAnsi="宋体"/>
          <w:szCs w:val="21"/>
        </w:rPr>
        <w:t>22凉山发展MTN001</w:t>
      </w:r>
      <w:r>
        <w:rPr>
          <w:rFonts w:hint="eastAsia" w:ascii="宋体" w:hAnsi="宋体"/>
          <w:szCs w:val="21"/>
          <w:lang w:val="en-US" w:eastAsia="zh-CN"/>
        </w:rPr>
        <w:t>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AE76FC4"/>
    <w:rsid w:val="1AC612D7"/>
    <w:rsid w:val="1DD13355"/>
    <w:rsid w:val="1F246194"/>
    <w:rsid w:val="21AF23DE"/>
    <w:rsid w:val="250932D9"/>
    <w:rsid w:val="28663D28"/>
    <w:rsid w:val="2BA03472"/>
    <w:rsid w:val="30D863E3"/>
    <w:rsid w:val="30EB624E"/>
    <w:rsid w:val="35706056"/>
    <w:rsid w:val="35844C1F"/>
    <w:rsid w:val="378A66D0"/>
    <w:rsid w:val="402E468B"/>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2025-04-16T09:28:14Z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