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四川银行定开系列6个月13号净值型理财产品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311,345,000.00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10.61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3,350,730.94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2,400,378.54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311,613,695.00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311,613,695.00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1.1061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263,046,010.72</w:t>
            </w:r>
          </w:p>
        </w:tc>
        <w:tc>
          <w:tcPr>
            <w:tcW w:w="1749" w:type="dxa"/>
            <w:shd w:val="clear" w:color="auto" w:fill="auto"/>
            <w:vAlign w:val="center"/>
          </w:tcPr>
          <w:p>
            <w:pPr>
              <w:jc w:val="right"/>
            </w:pPr>
            <w:r>
              <w:t>84.03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263,046,010.72</w:t>
            </w:r>
          </w:p>
        </w:tc>
        <w:tc>
          <w:tcPr>
            <w:tcW w:w="1749" w:type="dxa"/>
            <w:shd w:val="clear" w:color="auto" w:fill="auto"/>
            <w:vAlign w:val="center"/>
          </w:tcPr>
          <w:p>
            <w:pPr>
              <w:jc w:val="right"/>
            </w:pPr>
            <w:r>
              <w:t>84.03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49,011,804.40</w:t>
            </w:r>
          </w:p>
        </w:tc>
        <w:tc>
          <w:tcPr>
            <w:tcW w:w="1749" w:type="dxa"/>
            <w:shd w:val="clear" w:color="auto" w:fill="auto"/>
            <w:vAlign w:val="center"/>
          </w:tcPr>
          <w:p>
            <w:pPr>
              <w:jc w:val="right"/>
            </w:pPr>
            <w:r>
              <w:t>15.66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896,569.92</w:t>
            </w:r>
          </w:p>
        </w:tc>
        <w:tc>
          <w:tcPr>
            <w:tcW w:w="1749" w:type="dxa"/>
            <w:shd w:val="clear" w:color="auto" w:fill="auto"/>
            <w:vAlign w:val="center"/>
          </w:tcPr>
          <w:p>
            <w:pPr>
              <w:jc w:val="right"/>
            </w:pPr>
            <w:r>
              <w:t>0.29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77,924.12</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313,032,309.16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49,011,804.40</w:t>
            </w:r>
          </w:p>
        </w:tc>
        <w:tc>
          <w:tcPr>
            <w:tcW w:w="2431" w:type="dxa"/>
            <w:shd w:val="clear" w:color="auto" w:fill="auto"/>
            <w:vAlign w:val="center"/>
          </w:tcPr>
          <w:p>
            <w:pPr>
              <w:jc w:val="right"/>
            </w:pPr>
            <w:bookmarkStart w:id="3" w:name="OLE_LINK5"/>
            <w:bookmarkEnd w:id="3"/>
            <w:bookmarkStart w:id="4" w:name="OLE_LINK6"/>
            <w:bookmarkEnd w:id="4"/>
            <w:r>
              <w:rPr>
                <w:rFonts w:hint="eastAsia"/>
              </w:rPr>
              <w:t>15.73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20,592,230.14</w:t>
            </w:r>
          </w:p>
        </w:tc>
        <w:tc>
          <w:tcPr>
            <w:tcW w:w="2431" w:type="dxa"/>
            <w:shd w:val="clear" w:color="auto" w:fill="auto"/>
            <w:vAlign w:val="center"/>
          </w:tcPr>
          <w:p>
            <w:pPr>
              <w:ind w:hanging="1"/>
              <w:jc w:val="right"/>
            </w:pPr>
            <w:r>
              <w:rPr>
                <w:b w:val="0"/>
                <w:i w:val="0"/>
                <w:strike w:val="0"/>
                <w:u w:val="none"/>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20,400,602.74</w:t>
            </w:r>
          </w:p>
        </w:tc>
        <w:tc>
          <w:tcPr>
            <w:tcW w:w="2431" w:type="dxa"/>
            <w:shd w:val="clear" w:color="auto" w:fill="auto"/>
            <w:vAlign w:val="center"/>
          </w:tcPr>
          <w:p>
            <w:pPr>
              <w:ind w:hanging="1"/>
              <w:jc w:val="right"/>
            </w:pPr>
            <w:r>
              <w:rPr>
                <w:b w:val="0"/>
                <w:i w:val="0"/>
                <w:strike w:val="0"/>
                <w:u w:val="none"/>
              </w:rP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22眉资01</w:t>
            </w:r>
          </w:p>
        </w:tc>
        <w:tc>
          <w:tcPr>
            <w:tcW w:w="2693" w:type="dxa"/>
            <w:shd w:val="clear" w:color="auto" w:fill="auto"/>
            <w:vAlign w:val="center"/>
          </w:tcPr>
          <w:p>
            <w:pPr>
              <w:ind w:hanging="1"/>
              <w:jc w:val="right"/>
            </w:pPr>
            <w:r>
              <w:rPr>
                <w:b w:val="0"/>
                <w:i w:val="0"/>
                <w:strike w:val="0"/>
                <w:u w:val="none"/>
              </w:rPr>
              <w:t>20,070,142.47</w:t>
            </w:r>
          </w:p>
        </w:tc>
        <w:tc>
          <w:tcPr>
            <w:tcW w:w="2431" w:type="dxa"/>
            <w:shd w:val="clear" w:color="auto" w:fill="auto"/>
            <w:vAlign w:val="center"/>
          </w:tcPr>
          <w:p>
            <w:pPr>
              <w:ind w:hanging="1"/>
              <w:jc w:val="right"/>
            </w:pPr>
            <w:r>
              <w:rPr>
                <w:b w:val="0"/>
                <w:i w:val="0"/>
                <w:strike w:val="0"/>
                <w:u w:val="none"/>
              </w:rPr>
              <w:t>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24日照银行CD120</w:t>
            </w:r>
          </w:p>
        </w:tc>
        <w:tc>
          <w:tcPr>
            <w:tcW w:w="2693" w:type="dxa"/>
            <w:shd w:val="clear" w:color="auto" w:fill="auto"/>
            <w:vAlign w:val="center"/>
          </w:tcPr>
          <w:p>
            <w:pPr>
              <w:ind w:hanging="1"/>
              <w:jc w:val="right"/>
            </w:pPr>
            <w:r>
              <w:rPr>
                <w:b w:val="0"/>
                <w:i w:val="0"/>
                <w:strike w:val="0"/>
                <w:u w:val="none"/>
              </w:rPr>
              <w:t>19,806,132.60</w:t>
            </w:r>
          </w:p>
        </w:tc>
        <w:tc>
          <w:tcPr>
            <w:tcW w:w="2431" w:type="dxa"/>
            <w:shd w:val="clear" w:color="auto" w:fill="auto"/>
            <w:vAlign w:val="center"/>
          </w:tcPr>
          <w:p>
            <w:pPr>
              <w:ind w:hanging="1"/>
              <w:jc w:val="right"/>
            </w:pPr>
            <w:r>
              <w:rPr>
                <w:b w:val="0"/>
                <w:i w:val="0"/>
                <w:strike w:val="0"/>
                <w:u w:val="none"/>
              </w:rPr>
              <w:t>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23达州02</w:t>
            </w:r>
          </w:p>
        </w:tc>
        <w:tc>
          <w:tcPr>
            <w:tcW w:w="2693" w:type="dxa"/>
            <w:shd w:val="clear" w:color="auto" w:fill="auto"/>
            <w:vAlign w:val="center"/>
          </w:tcPr>
          <w:p>
            <w:pPr>
              <w:ind w:hanging="1"/>
              <w:jc w:val="right"/>
            </w:pPr>
            <w:r>
              <w:rPr>
                <w:b w:val="0"/>
                <w:i w:val="0"/>
                <w:strike w:val="0"/>
                <w:u w:val="none"/>
              </w:rPr>
              <w:t>16,261,089.04</w:t>
            </w:r>
          </w:p>
        </w:tc>
        <w:tc>
          <w:tcPr>
            <w:tcW w:w="2431" w:type="dxa"/>
            <w:shd w:val="clear" w:color="auto" w:fill="auto"/>
            <w:vAlign w:val="center"/>
          </w:tcPr>
          <w:p>
            <w:pPr>
              <w:ind w:hanging="1"/>
              <w:jc w:val="right"/>
            </w:pPr>
            <w:r>
              <w:rPr>
                <w:b w:val="0"/>
                <w:i w:val="0"/>
                <w:strike w:val="0"/>
                <w:u w:val="none"/>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24泸临01</w:t>
            </w:r>
          </w:p>
        </w:tc>
        <w:tc>
          <w:tcPr>
            <w:tcW w:w="2693" w:type="dxa"/>
            <w:shd w:val="clear" w:color="auto" w:fill="auto"/>
            <w:vAlign w:val="center"/>
          </w:tcPr>
          <w:p>
            <w:pPr>
              <w:ind w:hanging="1"/>
              <w:jc w:val="right"/>
            </w:pPr>
            <w:r>
              <w:rPr>
                <w:b w:val="0"/>
                <w:i w:val="0"/>
                <w:strike w:val="0"/>
                <w:u w:val="none"/>
              </w:rPr>
              <w:t>15,080,971.23</w:t>
            </w:r>
          </w:p>
        </w:tc>
        <w:tc>
          <w:tcPr>
            <w:tcW w:w="2431" w:type="dxa"/>
            <w:shd w:val="clear" w:color="auto" w:fill="auto"/>
            <w:vAlign w:val="center"/>
          </w:tcPr>
          <w:p>
            <w:pPr>
              <w:ind w:hanging="1"/>
              <w:jc w:val="right"/>
            </w:pPr>
            <w:r>
              <w:rPr>
                <w:b w:val="0"/>
                <w:i w:val="0"/>
                <w:strike w:val="0"/>
                <w:u w:val="none"/>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22凉山发展MTN001</w:t>
            </w:r>
          </w:p>
        </w:tc>
        <w:tc>
          <w:tcPr>
            <w:tcW w:w="2693" w:type="dxa"/>
            <w:shd w:val="clear" w:color="auto" w:fill="auto"/>
            <w:vAlign w:val="center"/>
          </w:tcPr>
          <w:p>
            <w:pPr>
              <w:ind w:hanging="1"/>
              <w:jc w:val="right"/>
            </w:pPr>
            <w:r>
              <w:rPr>
                <w:b w:val="0"/>
                <w:i w:val="0"/>
                <w:strike w:val="0"/>
                <w:u w:val="none"/>
              </w:rPr>
              <w:t>14,905,934.25</w:t>
            </w:r>
          </w:p>
        </w:tc>
        <w:tc>
          <w:tcPr>
            <w:tcW w:w="2431" w:type="dxa"/>
            <w:shd w:val="clear" w:color="auto" w:fill="auto"/>
            <w:vAlign w:val="center"/>
          </w:tcPr>
          <w:p>
            <w:pPr>
              <w:ind w:hanging="1"/>
              <w:jc w:val="right"/>
            </w:pPr>
            <w:r>
              <w:rPr>
                <w:b w:val="0"/>
                <w:i w:val="0"/>
                <w:strike w:val="0"/>
                <w:u w:val="none"/>
              </w:rP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22湔江01</w:t>
            </w:r>
          </w:p>
        </w:tc>
        <w:tc>
          <w:tcPr>
            <w:tcW w:w="2693" w:type="dxa"/>
            <w:shd w:val="clear" w:color="auto" w:fill="auto"/>
            <w:vAlign w:val="center"/>
          </w:tcPr>
          <w:p>
            <w:pPr>
              <w:ind w:hanging="1"/>
              <w:jc w:val="right"/>
            </w:pPr>
            <w:r>
              <w:rPr>
                <w:b w:val="0"/>
                <w:i w:val="0"/>
                <w:strike w:val="0"/>
                <w:u w:val="none"/>
              </w:rPr>
              <w:t>11,332,802.74</w:t>
            </w:r>
          </w:p>
        </w:tc>
        <w:tc>
          <w:tcPr>
            <w:tcW w:w="2431" w:type="dxa"/>
            <w:shd w:val="clear" w:color="auto" w:fill="auto"/>
            <w:vAlign w:val="center"/>
          </w:tcPr>
          <w:p>
            <w:pPr>
              <w:ind w:hanging="1"/>
              <w:jc w:val="right"/>
            </w:pPr>
            <w:r>
              <w:rPr>
                <w:b w:val="0"/>
                <w:i w:val="0"/>
                <w:strike w:val="0"/>
                <w:u w:val="non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21攀国投</w:t>
            </w:r>
          </w:p>
        </w:tc>
        <w:tc>
          <w:tcPr>
            <w:tcW w:w="2693" w:type="dxa"/>
            <w:shd w:val="clear" w:color="auto" w:fill="auto"/>
            <w:vAlign w:val="center"/>
          </w:tcPr>
          <w:p>
            <w:pPr>
              <w:ind w:hanging="1"/>
              <w:jc w:val="right"/>
            </w:pPr>
            <w:r>
              <w:rPr>
                <w:b w:val="0"/>
                <w:i w:val="0"/>
                <w:strike w:val="0"/>
                <w:u w:val="none"/>
              </w:rPr>
              <w:t>10,155,967.12</w:t>
            </w:r>
          </w:p>
        </w:tc>
        <w:tc>
          <w:tcPr>
            <w:tcW w:w="2431" w:type="dxa"/>
            <w:shd w:val="clear" w:color="auto" w:fill="auto"/>
            <w:vAlign w:val="center"/>
          </w:tcPr>
          <w:p>
            <w:pPr>
              <w:ind w:hanging="1"/>
              <w:jc w:val="right"/>
            </w:pPr>
            <w:r>
              <w:rPr>
                <w:b w:val="0"/>
                <w:i w:val="0"/>
                <w:strike w:val="0"/>
                <w:u w:val="none"/>
              </w:rPr>
              <w:t>3.26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rPr>
          <w:rFonts w:asciiTheme="minorEastAsia" w:hAnsiTheme="minorEastAsia" w:eastAsiaTheme="minorEastAsia"/>
          <w:szCs w:val="21"/>
          <w:highlight w:val="none"/>
        </w:rPr>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本报告期末，本产品投资的21攀国投、22凉山发展MTN001属于关联交易。</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A350A5A"/>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2025-04-03T13:30:09Z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