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四川银行定开系列6个月12号净值型理财产品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644,062,500.00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3,352,976.72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2,596,898.33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645,094,764.55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645,094,764.55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563,365,962.59</w:t>
            </w:r>
          </w:p>
        </w:tc>
        <w:tc>
          <w:tcPr>
            <w:tcW w:w="1749" w:type="dxa"/>
            <w:shd w:val="clear" w:color="auto" w:fill="auto"/>
            <w:vAlign w:val="center"/>
          </w:tcPr>
          <w:p>
            <w:pPr>
              <w:jc w:val="right"/>
            </w:pPr>
            <w:r>
              <w:t>87.07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563,365,962.59</w:t>
            </w:r>
          </w:p>
        </w:tc>
        <w:tc>
          <w:tcPr>
            <w:tcW w:w="1749" w:type="dxa"/>
            <w:shd w:val="clear" w:color="auto" w:fill="auto"/>
            <w:vAlign w:val="center"/>
          </w:tcPr>
          <w:p>
            <w:pPr>
              <w:jc w:val="right"/>
            </w:pPr>
            <w:r>
              <w:t>87.07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60,014,454.36</w:t>
            </w:r>
          </w:p>
        </w:tc>
        <w:tc>
          <w:tcPr>
            <w:tcW w:w="1749" w:type="dxa"/>
            <w:shd w:val="clear" w:color="auto" w:fill="auto"/>
            <w:vAlign w:val="center"/>
          </w:tcPr>
          <w:p>
            <w:pPr>
              <w:jc w:val="right"/>
            </w:pPr>
            <w:r>
              <w:t>9.28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23,541,936.89</w:t>
            </w:r>
          </w:p>
        </w:tc>
        <w:tc>
          <w:tcPr>
            <w:tcW w:w="1749" w:type="dxa"/>
            <w:shd w:val="clear" w:color="auto" w:fill="auto"/>
            <w:vAlign w:val="center"/>
          </w:tcPr>
          <w:p>
            <w:pPr>
              <w:jc w:val="right"/>
            </w:pPr>
            <w:r>
              <w:t>3.64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67,221.43</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646,989,575.27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60,014,454.36</w:t>
            </w:r>
          </w:p>
        </w:tc>
        <w:tc>
          <w:tcPr>
            <w:tcW w:w="2431" w:type="dxa"/>
            <w:shd w:val="clear" w:color="auto" w:fill="auto"/>
            <w:vAlign w:val="center"/>
          </w:tcPr>
          <w:p>
            <w:pPr>
              <w:jc w:val="right"/>
            </w:pPr>
            <w:bookmarkStart w:id="3" w:name="OLE_LINK5"/>
            <w:bookmarkEnd w:id="3"/>
            <w:bookmarkStart w:id="4" w:name="OLE_LINK6"/>
            <w:bookmarkEnd w:id="4"/>
            <w:r>
              <w:rPr>
                <w:rFonts w:hint="eastAsia"/>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25萧山农商银行CD002</w:t>
            </w:r>
          </w:p>
        </w:tc>
        <w:tc>
          <w:tcPr>
            <w:tcW w:w="2693" w:type="dxa"/>
            <w:shd w:val="clear" w:color="auto" w:fill="auto"/>
            <w:vAlign w:val="center"/>
          </w:tcPr>
          <w:p>
            <w:pPr>
              <w:ind w:hanging="1"/>
              <w:jc w:val="right"/>
            </w:pPr>
            <w:r>
              <w:rPr>
                <w:b w:val="0"/>
                <w:i w:val="0"/>
                <w:strike w:val="0"/>
                <w:u w:val="none"/>
              </w:rPr>
              <w:t>49,981,774.19</w:t>
            </w:r>
          </w:p>
        </w:tc>
        <w:tc>
          <w:tcPr>
            <w:tcW w:w="2431" w:type="dxa"/>
            <w:shd w:val="clear" w:color="auto" w:fill="auto"/>
            <w:vAlign w:val="center"/>
          </w:tcPr>
          <w:p>
            <w:pPr>
              <w:ind w:hanging="1"/>
              <w:jc w:val="right"/>
            </w:pPr>
            <w:r>
              <w:rPr>
                <w:b w:val="0"/>
                <w:i w:val="0"/>
                <w:strike w:val="0"/>
                <w:u w:val="none"/>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25江苏银行CD038</w:t>
            </w:r>
          </w:p>
        </w:tc>
        <w:tc>
          <w:tcPr>
            <w:tcW w:w="2693" w:type="dxa"/>
            <w:shd w:val="clear" w:color="auto" w:fill="auto"/>
            <w:vAlign w:val="center"/>
          </w:tcPr>
          <w:p>
            <w:pPr>
              <w:ind w:hanging="1"/>
              <w:jc w:val="right"/>
            </w:pPr>
            <w:r>
              <w:rPr>
                <w:b w:val="0"/>
                <w:i w:val="0"/>
                <w:strike w:val="0"/>
                <w:u w:val="none"/>
              </w:rPr>
              <w:t>49,981,088.71</w:t>
            </w:r>
          </w:p>
        </w:tc>
        <w:tc>
          <w:tcPr>
            <w:tcW w:w="2431" w:type="dxa"/>
            <w:shd w:val="clear" w:color="auto" w:fill="auto"/>
            <w:vAlign w:val="center"/>
          </w:tcPr>
          <w:p>
            <w:pPr>
              <w:ind w:hanging="1"/>
              <w:jc w:val="right"/>
            </w:pPr>
            <w:r>
              <w:rPr>
                <w:b w:val="0"/>
                <w:i w:val="0"/>
                <w:strike w:val="0"/>
                <w:u w:val="none"/>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25渤海银行CD092</w:t>
            </w:r>
          </w:p>
        </w:tc>
        <w:tc>
          <w:tcPr>
            <w:tcW w:w="2693" w:type="dxa"/>
            <w:shd w:val="clear" w:color="auto" w:fill="auto"/>
            <w:vAlign w:val="center"/>
          </w:tcPr>
          <w:p>
            <w:pPr>
              <w:ind w:hanging="1"/>
              <w:jc w:val="right"/>
            </w:pPr>
            <w:r>
              <w:rPr>
                <w:b w:val="0"/>
                <w:i w:val="0"/>
                <w:strike w:val="0"/>
                <w:u w:val="none"/>
              </w:rPr>
              <w:t>49,978,161.29</w:t>
            </w:r>
          </w:p>
        </w:tc>
        <w:tc>
          <w:tcPr>
            <w:tcW w:w="2431" w:type="dxa"/>
            <w:shd w:val="clear" w:color="auto" w:fill="auto"/>
            <w:vAlign w:val="center"/>
          </w:tcPr>
          <w:p>
            <w:pPr>
              <w:ind w:hanging="1"/>
              <w:jc w:val="right"/>
            </w:pPr>
            <w:r>
              <w:rPr>
                <w:b w:val="0"/>
                <w:i w:val="0"/>
                <w:strike w:val="0"/>
                <w:u w:val="none"/>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25天津银行CD051</w:t>
            </w:r>
          </w:p>
        </w:tc>
        <w:tc>
          <w:tcPr>
            <w:tcW w:w="2693" w:type="dxa"/>
            <w:shd w:val="clear" w:color="auto" w:fill="auto"/>
            <w:vAlign w:val="center"/>
          </w:tcPr>
          <w:p>
            <w:pPr>
              <w:ind w:hanging="1"/>
              <w:jc w:val="right"/>
            </w:pPr>
            <w:r>
              <w:rPr>
                <w:b w:val="0"/>
                <w:i w:val="0"/>
                <w:strike w:val="0"/>
                <w:u w:val="none"/>
              </w:rPr>
              <w:t>49,817,951.09</w:t>
            </w:r>
          </w:p>
        </w:tc>
        <w:tc>
          <w:tcPr>
            <w:tcW w:w="2431" w:type="dxa"/>
            <w:shd w:val="clear" w:color="auto" w:fill="auto"/>
            <w:vAlign w:val="center"/>
          </w:tcPr>
          <w:p>
            <w:pPr>
              <w:ind w:hanging="1"/>
              <w:jc w:val="right"/>
            </w:pPr>
            <w:r>
              <w:rPr>
                <w:b w:val="0"/>
                <w:i w:val="0"/>
                <w:strike w:val="0"/>
                <w:u w:val="none"/>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25萧山农商银行CD005</w:t>
            </w:r>
          </w:p>
        </w:tc>
        <w:tc>
          <w:tcPr>
            <w:tcW w:w="2693" w:type="dxa"/>
            <w:shd w:val="clear" w:color="auto" w:fill="auto"/>
            <w:vAlign w:val="center"/>
          </w:tcPr>
          <w:p>
            <w:pPr>
              <w:ind w:hanging="1"/>
              <w:jc w:val="right"/>
            </w:pPr>
            <w:r>
              <w:rPr>
                <w:b w:val="0"/>
                <w:i w:val="0"/>
                <w:strike w:val="0"/>
                <w:u w:val="none"/>
              </w:rPr>
              <w:t>29,857,892.93</w:t>
            </w:r>
          </w:p>
        </w:tc>
        <w:tc>
          <w:tcPr>
            <w:tcW w:w="2431" w:type="dxa"/>
            <w:shd w:val="clear" w:color="auto" w:fill="auto"/>
            <w:vAlign w:val="center"/>
          </w:tcPr>
          <w:p>
            <w:pPr>
              <w:ind w:hanging="1"/>
              <w:jc w:val="right"/>
            </w:pPr>
            <w:r>
              <w:rPr>
                <w:b w:val="0"/>
                <w:i w:val="0"/>
                <w:strike w:val="0"/>
                <w:u w:val="none"/>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25内桥01</w:t>
            </w:r>
          </w:p>
        </w:tc>
        <w:tc>
          <w:tcPr>
            <w:tcW w:w="2693" w:type="dxa"/>
            <w:shd w:val="clear" w:color="auto" w:fill="auto"/>
            <w:vAlign w:val="center"/>
          </w:tcPr>
          <w:p>
            <w:pPr>
              <w:ind w:hanging="1"/>
              <w:jc w:val="right"/>
            </w:pPr>
            <w:r>
              <w:rPr>
                <w:b w:val="0"/>
                <w:i w:val="0"/>
                <w:strike w:val="0"/>
                <w:u w:val="none"/>
              </w:rPr>
              <w:t>20,007,863.01</w:t>
            </w:r>
          </w:p>
        </w:tc>
        <w:tc>
          <w:tcPr>
            <w:tcW w:w="2431" w:type="dxa"/>
            <w:shd w:val="clear" w:color="auto" w:fill="auto"/>
            <w:vAlign w:val="center"/>
          </w:tcPr>
          <w:p>
            <w:pPr>
              <w:ind w:hanging="1"/>
              <w:jc w:val="right"/>
            </w:pPr>
            <w:r>
              <w:rPr>
                <w:b w:val="0"/>
                <w:i w:val="0"/>
                <w:strike w:val="0"/>
                <w:u w:val="none"/>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25秦农农商银行CD086</w:t>
            </w:r>
          </w:p>
        </w:tc>
        <w:tc>
          <w:tcPr>
            <w:tcW w:w="2693" w:type="dxa"/>
            <w:shd w:val="clear" w:color="auto" w:fill="auto"/>
            <w:vAlign w:val="center"/>
          </w:tcPr>
          <w:p>
            <w:pPr>
              <w:ind w:hanging="1"/>
              <w:jc w:val="right"/>
            </w:pPr>
            <w:r>
              <w:rPr>
                <w:b w:val="0"/>
                <w:i w:val="0"/>
                <w:strike w:val="0"/>
                <w:u w:val="none"/>
              </w:rPr>
              <w:t>19,906,932.61</w:t>
            </w:r>
          </w:p>
        </w:tc>
        <w:tc>
          <w:tcPr>
            <w:tcW w:w="2431" w:type="dxa"/>
            <w:shd w:val="clear" w:color="auto" w:fill="auto"/>
            <w:vAlign w:val="center"/>
          </w:tcPr>
          <w:p>
            <w:pPr>
              <w:ind w:hanging="1"/>
              <w:jc w:val="right"/>
            </w:pPr>
            <w:r>
              <w:rPr>
                <w:b w:val="0"/>
                <w:i w:val="0"/>
                <w:strike w:val="0"/>
                <w:u w:val="none"/>
              </w:rPr>
              <w:t>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24稠州商行CD026</w:t>
            </w:r>
          </w:p>
        </w:tc>
        <w:tc>
          <w:tcPr>
            <w:tcW w:w="2693" w:type="dxa"/>
            <w:shd w:val="clear" w:color="auto" w:fill="auto"/>
            <w:vAlign w:val="center"/>
          </w:tcPr>
          <w:p>
            <w:pPr>
              <w:ind w:hanging="1"/>
              <w:jc w:val="right"/>
            </w:pPr>
            <w:r>
              <w:rPr>
                <w:b w:val="0"/>
                <w:i w:val="0"/>
                <w:strike w:val="0"/>
                <w:u w:val="none"/>
              </w:rPr>
              <w:t>19,824,919.45</w:t>
            </w:r>
          </w:p>
        </w:tc>
        <w:tc>
          <w:tcPr>
            <w:tcW w:w="2431" w:type="dxa"/>
            <w:shd w:val="clear" w:color="auto" w:fill="auto"/>
            <w:vAlign w:val="center"/>
          </w:tcPr>
          <w:p>
            <w:pPr>
              <w:ind w:hanging="1"/>
              <w:jc w:val="right"/>
            </w:pPr>
            <w:r>
              <w:rPr>
                <w:b w:val="0"/>
                <w:i w:val="0"/>
                <w:strike w:val="0"/>
                <w:u w:val="none"/>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24乌鲁木齐银行CD150</w:t>
            </w:r>
          </w:p>
        </w:tc>
        <w:tc>
          <w:tcPr>
            <w:tcW w:w="2693" w:type="dxa"/>
            <w:shd w:val="clear" w:color="auto" w:fill="auto"/>
            <w:vAlign w:val="center"/>
          </w:tcPr>
          <w:p>
            <w:pPr>
              <w:ind w:hanging="1"/>
              <w:jc w:val="right"/>
            </w:pPr>
            <w:r>
              <w:rPr>
                <w:b w:val="0"/>
                <w:i w:val="0"/>
                <w:strike w:val="0"/>
                <w:u w:val="none"/>
              </w:rPr>
              <w:t>19,822,719.34</w:t>
            </w:r>
          </w:p>
        </w:tc>
        <w:tc>
          <w:tcPr>
            <w:tcW w:w="2431" w:type="dxa"/>
            <w:shd w:val="clear" w:color="auto" w:fill="auto"/>
            <w:vAlign w:val="center"/>
          </w:tcPr>
          <w:p>
            <w:pPr>
              <w:ind w:hanging="1"/>
              <w:jc w:val="right"/>
            </w:pPr>
            <w:r>
              <w:rPr>
                <w:b w:val="0"/>
                <w:i w:val="0"/>
                <w:strike w:val="0"/>
                <w:u w:val="none"/>
              </w:rPr>
              <w:t>3.07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highlight w:val="none"/>
          <w:lang w:eastAsia="zh-CN"/>
        </w:rPr>
        <w:t>25内桥01、</w:t>
      </w:r>
      <w:r>
        <w:rPr>
          <w:rFonts w:hint="eastAsia" w:ascii="宋体" w:hAnsi="宋体" w:eastAsia="宋体" w:cs="Times New Roman"/>
          <w:szCs w:val="21"/>
        </w:rPr>
        <w:t>22</w:t>
      </w:r>
      <w:bookmarkStart w:id="5" w:name="_GoBack"/>
      <w:bookmarkEnd w:id="5"/>
      <w:r>
        <w:rPr>
          <w:rFonts w:hint="eastAsia" w:ascii="宋体" w:hAnsi="宋体" w:eastAsia="宋体" w:cs="Times New Roman"/>
          <w:szCs w:val="21"/>
        </w:rPr>
        <w:t>凉山发展MTN001</w:t>
      </w:r>
      <w:r>
        <w:rPr>
          <w:rFonts w:hint="eastAsia" w:ascii="宋体" w:hAnsi="宋体" w:cs="Times New Roman"/>
          <w:szCs w:val="21"/>
          <w:lang w:eastAsia="zh-CN"/>
        </w:rPr>
        <w:t>、</w:t>
      </w:r>
      <w:r>
        <w:rPr>
          <w:rFonts w:hint="eastAsia" w:ascii="宋体" w:hAnsi="宋体" w:eastAsia="宋体" w:cs="Times New Roman"/>
          <w:szCs w:val="21"/>
        </w:rPr>
        <w:t>21攀国投</w:t>
      </w:r>
      <w:r>
        <w:rPr>
          <w:rFonts w:hint="eastAsia" w:asciiTheme="minorEastAsia" w:hAnsiTheme="minorEastAsia" w:eastAsiaTheme="minorEastAsia"/>
          <w:szCs w:val="21"/>
        </w:rPr>
        <w:t>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E56452E"/>
    <w:rsid w:val="1F246194"/>
    <w:rsid w:val="21AF23DE"/>
    <w:rsid w:val="250932D9"/>
    <w:rsid w:val="30D863E3"/>
    <w:rsid w:val="35706056"/>
    <w:rsid w:val="35844C1F"/>
    <w:rsid w:val="378A66D0"/>
    <w:rsid w:val="44623ED2"/>
    <w:rsid w:val="46050EA9"/>
    <w:rsid w:val="49D862C5"/>
    <w:rsid w:val="4B474E5A"/>
    <w:rsid w:val="51E06E0A"/>
    <w:rsid w:val="53167101"/>
    <w:rsid w:val="5B5FA6DC"/>
    <w:rsid w:val="63BE4DA7"/>
    <w:rsid w:val="6CB6511A"/>
    <w:rsid w:val="72A65BBE"/>
    <w:rsid w:val="79CF3705"/>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2025-04-16T09:26:03Z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