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四川银行定开系列6个月11号净值型理财产品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257,238,200.00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10.11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3,509,000.59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2,063,628.13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257,854,246.38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257,854,246.38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1.1011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237,955,211.06</w:t>
            </w:r>
          </w:p>
        </w:tc>
        <w:tc>
          <w:tcPr>
            <w:tcW w:w="1749" w:type="dxa"/>
            <w:shd w:val="clear" w:color="auto" w:fill="auto"/>
            <w:vAlign w:val="center"/>
          </w:tcPr>
          <w:p>
            <w:pPr>
              <w:jc w:val="right"/>
            </w:pPr>
            <w:r>
              <w:t>90.55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237,955,211.06</w:t>
            </w:r>
          </w:p>
        </w:tc>
        <w:tc>
          <w:tcPr>
            <w:tcW w:w="1749" w:type="dxa"/>
            <w:shd w:val="clear" w:color="auto" w:fill="auto"/>
            <w:vAlign w:val="center"/>
          </w:tcPr>
          <w:p>
            <w:pPr>
              <w:jc w:val="right"/>
            </w:pPr>
            <w:r>
              <w:t>90.55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24,005,781.76</w:t>
            </w:r>
          </w:p>
        </w:tc>
        <w:tc>
          <w:tcPr>
            <w:tcW w:w="1749" w:type="dxa"/>
            <w:shd w:val="clear" w:color="auto" w:fill="auto"/>
            <w:vAlign w:val="center"/>
          </w:tcPr>
          <w:p>
            <w:pPr>
              <w:jc w:val="right"/>
            </w:pPr>
            <w:r>
              <w:t>9.13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816,335.47</w:t>
            </w:r>
          </w:p>
        </w:tc>
        <w:tc>
          <w:tcPr>
            <w:tcW w:w="1749" w:type="dxa"/>
            <w:shd w:val="clear" w:color="auto" w:fill="auto"/>
            <w:vAlign w:val="center"/>
          </w:tcPr>
          <w:p>
            <w:pPr>
              <w:jc w:val="right"/>
            </w:pPr>
            <w:r>
              <w:t>0.31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22,686.87</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262,800,015.16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24,005,781.76</w:t>
            </w:r>
          </w:p>
        </w:tc>
        <w:tc>
          <w:tcPr>
            <w:tcW w:w="2431" w:type="dxa"/>
            <w:shd w:val="clear" w:color="auto" w:fill="auto"/>
            <w:vAlign w:val="center"/>
          </w:tcPr>
          <w:p>
            <w:pPr>
              <w:jc w:val="right"/>
            </w:pPr>
            <w:bookmarkStart w:id="3" w:name="OLE_LINK6"/>
            <w:bookmarkEnd w:id="3"/>
            <w:bookmarkStart w:id="4" w:name="OLE_LINK5"/>
            <w:bookmarkEnd w:id="4"/>
            <w:r>
              <w:rPr>
                <w:rFonts w:hint="eastAsia"/>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24龙驰01</w:t>
            </w:r>
          </w:p>
        </w:tc>
        <w:tc>
          <w:tcPr>
            <w:tcW w:w="2693" w:type="dxa"/>
            <w:shd w:val="clear" w:color="auto" w:fill="auto"/>
            <w:vAlign w:val="center"/>
          </w:tcPr>
          <w:p>
            <w:pPr>
              <w:ind w:hanging="1"/>
              <w:jc w:val="right"/>
            </w:pPr>
            <w:r>
              <w:rPr>
                <w:b w:val="0"/>
                <w:i w:val="0"/>
                <w:strike w:val="0"/>
                <w:u w:val="none"/>
              </w:rPr>
              <w:t>21,143,123.29</w:t>
            </w:r>
          </w:p>
        </w:tc>
        <w:tc>
          <w:tcPr>
            <w:tcW w:w="2431" w:type="dxa"/>
            <w:shd w:val="clear" w:color="auto" w:fill="auto"/>
            <w:vAlign w:val="center"/>
          </w:tcPr>
          <w:p>
            <w:pPr>
              <w:ind w:hanging="1"/>
              <w:jc w:val="right"/>
            </w:pPr>
            <w:r>
              <w:rPr>
                <w:b w:val="0"/>
                <w:i w:val="0"/>
                <w:strike w:val="0"/>
                <w:u w:val="none"/>
              </w:rPr>
              <w:t>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25秦农农商银行CD008</w:t>
            </w:r>
          </w:p>
        </w:tc>
        <w:tc>
          <w:tcPr>
            <w:tcW w:w="2693" w:type="dxa"/>
            <w:shd w:val="clear" w:color="auto" w:fill="auto"/>
            <w:vAlign w:val="center"/>
          </w:tcPr>
          <w:p>
            <w:pPr>
              <w:ind w:hanging="1"/>
              <w:jc w:val="right"/>
            </w:pPr>
            <w:r>
              <w:rPr>
                <w:b w:val="0"/>
                <w:i w:val="0"/>
                <w:strike w:val="0"/>
                <w:u w:val="none"/>
              </w:rPr>
              <w:t>19,693,107.51</w:t>
            </w:r>
          </w:p>
        </w:tc>
        <w:tc>
          <w:tcPr>
            <w:tcW w:w="2431" w:type="dxa"/>
            <w:shd w:val="clear" w:color="auto" w:fill="auto"/>
            <w:vAlign w:val="center"/>
          </w:tcPr>
          <w:p>
            <w:pPr>
              <w:ind w:hanging="1"/>
              <w:jc w:val="right"/>
            </w:pPr>
            <w:r>
              <w:rPr>
                <w:b w:val="0"/>
                <w:i w:val="0"/>
                <w:strike w:val="0"/>
                <w:u w:val="none"/>
              </w:rPr>
              <w:t>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18,736,979.18</w:t>
            </w:r>
          </w:p>
        </w:tc>
        <w:tc>
          <w:tcPr>
            <w:tcW w:w="2431" w:type="dxa"/>
            <w:shd w:val="clear" w:color="auto" w:fill="auto"/>
            <w:vAlign w:val="center"/>
          </w:tcPr>
          <w:p>
            <w:pPr>
              <w:ind w:hanging="1"/>
              <w:jc w:val="right"/>
            </w:pPr>
            <w:r>
              <w:rPr>
                <w:b w:val="0"/>
                <w:i w:val="0"/>
                <w:strike w:val="0"/>
                <w:u w:val="none"/>
              </w:rPr>
              <w:t>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22温国01</w:t>
            </w:r>
          </w:p>
        </w:tc>
        <w:tc>
          <w:tcPr>
            <w:tcW w:w="2693" w:type="dxa"/>
            <w:shd w:val="clear" w:color="auto" w:fill="auto"/>
            <w:vAlign w:val="center"/>
          </w:tcPr>
          <w:p>
            <w:pPr>
              <w:ind w:hanging="1"/>
              <w:jc w:val="right"/>
            </w:pPr>
            <w:r>
              <w:rPr>
                <w:b w:val="0"/>
                <w:i w:val="0"/>
                <w:strike w:val="0"/>
                <w:u w:val="none"/>
              </w:rPr>
              <w:t>16,491,660.27</w:t>
            </w:r>
          </w:p>
        </w:tc>
        <w:tc>
          <w:tcPr>
            <w:tcW w:w="2431" w:type="dxa"/>
            <w:shd w:val="clear" w:color="auto" w:fill="auto"/>
            <w:vAlign w:val="center"/>
          </w:tcPr>
          <w:p>
            <w:pPr>
              <w:ind w:hanging="1"/>
              <w:jc w:val="right"/>
            </w:pPr>
            <w:r>
              <w:rPr>
                <w:b w:val="0"/>
                <w:i w:val="0"/>
                <w:strike w:val="0"/>
                <w:u w:val="none"/>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20香城投资MTN002</w:t>
            </w:r>
          </w:p>
        </w:tc>
        <w:tc>
          <w:tcPr>
            <w:tcW w:w="2693" w:type="dxa"/>
            <w:shd w:val="clear" w:color="auto" w:fill="auto"/>
            <w:vAlign w:val="center"/>
          </w:tcPr>
          <w:p>
            <w:pPr>
              <w:ind w:hanging="1"/>
              <w:jc w:val="right"/>
            </w:pPr>
            <w:r>
              <w:rPr>
                <w:b w:val="0"/>
                <w:i w:val="0"/>
                <w:strike w:val="0"/>
                <w:u w:val="none"/>
              </w:rPr>
              <w:t>15,403,993.15</w:t>
            </w:r>
          </w:p>
        </w:tc>
        <w:tc>
          <w:tcPr>
            <w:tcW w:w="2431" w:type="dxa"/>
            <w:shd w:val="clear" w:color="auto" w:fill="auto"/>
            <w:vAlign w:val="center"/>
          </w:tcPr>
          <w:p>
            <w:pPr>
              <w:ind w:hanging="1"/>
              <w:jc w:val="right"/>
            </w:pPr>
            <w:r>
              <w:rPr>
                <w:b w:val="0"/>
                <w:i w:val="0"/>
                <w:strike w:val="0"/>
                <w:u w:val="none"/>
              </w:rPr>
              <w:t>5.97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23广安MTN001</w:t>
            </w:r>
          </w:p>
        </w:tc>
        <w:tc>
          <w:tcPr>
            <w:tcW w:w="2693" w:type="dxa"/>
            <w:shd w:val="clear" w:color="auto" w:fill="auto"/>
            <w:vAlign w:val="center"/>
          </w:tcPr>
          <w:p>
            <w:pPr>
              <w:ind w:hanging="1"/>
              <w:jc w:val="right"/>
            </w:pPr>
            <w:r>
              <w:rPr>
                <w:b w:val="0"/>
                <w:i w:val="0"/>
                <w:strike w:val="0"/>
                <w:u w:val="none"/>
              </w:rPr>
              <w:t>14,998,084.93</w:t>
            </w:r>
          </w:p>
        </w:tc>
        <w:tc>
          <w:tcPr>
            <w:tcW w:w="2431" w:type="dxa"/>
            <w:shd w:val="clear" w:color="auto" w:fill="auto"/>
            <w:vAlign w:val="center"/>
          </w:tcPr>
          <w:p>
            <w:pPr>
              <w:ind w:hanging="1"/>
              <w:jc w:val="right"/>
            </w:pPr>
            <w:r>
              <w:rPr>
                <w:b w:val="0"/>
                <w:i w:val="0"/>
                <w:strike w:val="0"/>
                <w:u w:val="none"/>
              </w:rP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24江苏银行CD189</w:t>
            </w:r>
          </w:p>
        </w:tc>
        <w:tc>
          <w:tcPr>
            <w:tcW w:w="2693" w:type="dxa"/>
            <w:shd w:val="clear" w:color="auto" w:fill="auto"/>
            <w:vAlign w:val="center"/>
          </w:tcPr>
          <w:p>
            <w:pPr>
              <w:ind w:hanging="1"/>
              <w:jc w:val="right"/>
            </w:pPr>
            <w:r>
              <w:rPr>
                <w:b w:val="0"/>
                <w:i w:val="0"/>
                <w:strike w:val="0"/>
                <w:u w:val="none"/>
              </w:rPr>
              <w:t>14,882,641.64</w:t>
            </w:r>
          </w:p>
        </w:tc>
        <w:tc>
          <w:tcPr>
            <w:tcW w:w="2431" w:type="dxa"/>
            <w:shd w:val="clear" w:color="auto" w:fill="auto"/>
            <w:vAlign w:val="center"/>
          </w:tcPr>
          <w:p>
            <w:pPr>
              <w:ind w:hanging="1"/>
              <w:jc w:val="right"/>
            </w:pPr>
            <w:r>
              <w:rPr>
                <w:b w:val="0"/>
                <w:i w:val="0"/>
                <w:strike w:val="0"/>
                <w:u w:val="none"/>
              </w:rPr>
              <w:t>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24重庆三峡银行CD068</w:t>
            </w:r>
          </w:p>
        </w:tc>
        <w:tc>
          <w:tcPr>
            <w:tcW w:w="2693" w:type="dxa"/>
            <w:shd w:val="clear" w:color="auto" w:fill="auto"/>
            <w:vAlign w:val="center"/>
          </w:tcPr>
          <w:p>
            <w:pPr>
              <w:ind w:hanging="1"/>
              <w:jc w:val="right"/>
            </w:pPr>
            <w:r>
              <w:rPr>
                <w:b w:val="0"/>
                <w:i w:val="0"/>
                <w:strike w:val="0"/>
                <w:u w:val="none"/>
              </w:rPr>
              <w:t>14,875,403.51</w:t>
            </w:r>
          </w:p>
        </w:tc>
        <w:tc>
          <w:tcPr>
            <w:tcW w:w="2431" w:type="dxa"/>
            <w:shd w:val="clear" w:color="auto" w:fill="auto"/>
            <w:vAlign w:val="center"/>
          </w:tcPr>
          <w:p>
            <w:pPr>
              <w:ind w:hanging="1"/>
              <w:jc w:val="right"/>
            </w:pPr>
            <w:r>
              <w:rPr>
                <w:b w:val="0"/>
                <w:i w:val="0"/>
                <w:strike w:val="0"/>
                <w:u w:val="none"/>
              </w:rPr>
              <w:t>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24稠州商行CD030</w:t>
            </w:r>
          </w:p>
        </w:tc>
        <w:tc>
          <w:tcPr>
            <w:tcW w:w="2693" w:type="dxa"/>
            <w:shd w:val="clear" w:color="auto" w:fill="auto"/>
            <w:vAlign w:val="center"/>
          </w:tcPr>
          <w:p>
            <w:pPr>
              <w:ind w:hanging="1"/>
              <w:jc w:val="right"/>
            </w:pPr>
            <w:r>
              <w:rPr>
                <w:b w:val="0"/>
                <w:i w:val="0"/>
                <w:strike w:val="0"/>
                <w:u w:val="none"/>
              </w:rPr>
              <w:t>14,861,133.70</w:t>
            </w:r>
          </w:p>
        </w:tc>
        <w:tc>
          <w:tcPr>
            <w:tcW w:w="2431" w:type="dxa"/>
            <w:shd w:val="clear" w:color="auto" w:fill="auto"/>
            <w:vAlign w:val="center"/>
          </w:tcPr>
          <w:p>
            <w:pPr>
              <w:ind w:hanging="1"/>
              <w:jc w:val="right"/>
            </w:pPr>
            <w:r>
              <w:rPr>
                <w:b w:val="0"/>
                <w:i w:val="0"/>
                <w:strike w:val="0"/>
                <w:u w:val="none"/>
              </w:rPr>
              <w:t>5.76</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宋体" w:hAnsi="宋体" w:eastAsia="宋体" w:cs="Times New Roman"/>
          <w:szCs w:val="21"/>
        </w:rPr>
        <w:t>本报告期末，本产品投资的21攀国投属于关联交易。</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B0A3E18"/>
    <w:rsid w:val="46050EA9"/>
    <w:rsid w:val="49D862C5"/>
    <w:rsid w:val="4B474E5A"/>
    <w:rsid w:val="4EE15EA1"/>
    <w:rsid w:val="51E06E0A"/>
    <w:rsid w:val="53167101"/>
    <w:rsid w:val="5B5FA6DC"/>
    <w:rsid w:val="63BE4DA7"/>
    <w:rsid w:val="6CB6511A"/>
    <w:rsid w:val="72A65BBE"/>
    <w:rsid w:val="7DC44B5F"/>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2025-04-16T09:24:46Z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