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四川银行定开系列6个月10号净值型理财产品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382,989,200.00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10.17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4,435,000.55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3,014,034.81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384,107,082.69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384,107,082.69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1.1017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367,234,745.04</w:t>
            </w:r>
          </w:p>
        </w:tc>
        <w:tc>
          <w:tcPr>
            <w:tcW w:w="1749" w:type="dxa"/>
            <w:shd w:val="clear" w:color="auto" w:fill="auto"/>
            <w:vAlign w:val="center"/>
          </w:tcPr>
          <w:p>
            <w:pPr>
              <w:jc w:val="right"/>
            </w:pPr>
            <w:r>
              <w:t>95.22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367,234,745.04</w:t>
            </w:r>
          </w:p>
        </w:tc>
        <w:tc>
          <w:tcPr>
            <w:tcW w:w="1749" w:type="dxa"/>
            <w:shd w:val="clear" w:color="auto" w:fill="auto"/>
            <w:vAlign w:val="center"/>
          </w:tcPr>
          <w:p>
            <w:pPr>
              <w:jc w:val="right"/>
            </w:pPr>
            <w:r>
              <w:t>95.22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11,002,649.96</w:t>
            </w:r>
          </w:p>
        </w:tc>
        <w:tc>
          <w:tcPr>
            <w:tcW w:w="1749" w:type="dxa"/>
            <w:shd w:val="clear" w:color="auto" w:fill="auto"/>
            <w:vAlign w:val="center"/>
          </w:tcPr>
          <w:p>
            <w:pPr>
              <w:jc w:val="right"/>
            </w:pPr>
            <w:r>
              <w:t>2.85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7,375,373.74</w:t>
            </w:r>
          </w:p>
        </w:tc>
        <w:tc>
          <w:tcPr>
            <w:tcW w:w="1749" w:type="dxa"/>
            <w:shd w:val="clear" w:color="auto" w:fill="auto"/>
            <w:vAlign w:val="center"/>
          </w:tcPr>
          <w:p>
            <w:pPr>
              <w:jc w:val="right"/>
            </w:pPr>
            <w:r>
              <w:t>1.91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43,228.56</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385,655,997.30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22湔江01</w:t>
            </w:r>
          </w:p>
        </w:tc>
        <w:tc>
          <w:tcPr>
            <w:tcW w:w="2693" w:type="dxa"/>
            <w:shd w:val="clear" w:color="auto" w:fill="auto"/>
            <w:vAlign w:val="center"/>
          </w:tcPr>
          <w:p>
            <w:pPr>
              <w:jc w:val="right"/>
            </w:pPr>
            <w:r>
              <w:t>25,756,369.86</w:t>
            </w:r>
          </w:p>
        </w:tc>
        <w:tc>
          <w:tcPr>
            <w:tcW w:w="2431" w:type="dxa"/>
            <w:shd w:val="clear" w:color="auto" w:fill="auto"/>
            <w:vAlign w:val="center"/>
          </w:tcPr>
          <w:p>
            <w:pPr>
              <w:jc w:val="right"/>
            </w:pPr>
            <w:bookmarkStart w:id="3" w:name="OLE_LINK6"/>
            <w:bookmarkEnd w:id="3"/>
            <w:bookmarkStart w:id="4" w:name="OLE_LINK5"/>
            <w:bookmarkEnd w:id="4"/>
            <w:r>
              <w:rPr>
                <w:rFonts w:hint="eastAsia"/>
              </w:rPr>
              <w:t>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24中原银行CD239</w:t>
            </w:r>
          </w:p>
        </w:tc>
        <w:tc>
          <w:tcPr>
            <w:tcW w:w="2693" w:type="dxa"/>
            <w:shd w:val="clear" w:color="auto" w:fill="auto"/>
            <w:vAlign w:val="center"/>
          </w:tcPr>
          <w:p>
            <w:pPr>
              <w:ind w:hanging="1"/>
              <w:jc w:val="right"/>
            </w:pPr>
            <w:r>
              <w:rPr>
                <w:b w:val="0"/>
                <w:i w:val="0"/>
                <w:strike w:val="0"/>
                <w:u w:val="none"/>
              </w:rPr>
              <w:t>23,822,327.67</w:t>
            </w:r>
          </w:p>
        </w:tc>
        <w:tc>
          <w:tcPr>
            <w:tcW w:w="2431" w:type="dxa"/>
            <w:shd w:val="clear" w:color="auto" w:fill="auto"/>
            <w:vAlign w:val="center"/>
          </w:tcPr>
          <w:p>
            <w:pPr>
              <w:ind w:hanging="1"/>
              <w:jc w:val="right"/>
            </w:pPr>
            <w:r>
              <w:rPr>
                <w:b w:val="0"/>
                <w:i w:val="0"/>
                <w:strike w:val="0"/>
                <w:u w:val="none"/>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24乌鲁木齐银行CD137</w:t>
            </w:r>
          </w:p>
        </w:tc>
        <w:tc>
          <w:tcPr>
            <w:tcW w:w="2693" w:type="dxa"/>
            <w:shd w:val="clear" w:color="auto" w:fill="auto"/>
            <w:vAlign w:val="center"/>
          </w:tcPr>
          <w:p>
            <w:pPr>
              <w:ind w:hanging="1"/>
              <w:jc w:val="right"/>
            </w:pPr>
            <w:r>
              <w:rPr>
                <w:b w:val="0"/>
                <w:i w:val="0"/>
                <w:strike w:val="0"/>
                <w:u w:val="none"/>
              </w:rPr>
              <w:t>21,830,004.73</w:t>
            </w:r>
          </w:p>
        </w:tc>
        <w:tc>
          <w:tcPr>
            <w:tcW w:w="2431" w:type="dxa"/>
            <w:shd w:val="clear" w:color="auto" w:fill="auto"/>
            <w:vAlign w:val="center"/>
          </w:tcPr>
          <w:p>
            <w:pPr>
              <w:ind w:hanging="1"/>
              <w:jc w:val="right"/>
            </w:pPr>
            <w:r>
              <w:rPr>
                <w:b w:val="0"/>
                <w:i w:val="0"/>
                <w:strike w:val="0"/>
                <w:u w:val="none"/>
              </w:rPr>
              <w:t>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23达州02</w:t>
            </w:r>
          </w:p>
        </w:tc>
        <w:tc>
          <w:tcPr>
            <w:tcW w:w="2693" w:type="dxa"/>
            <w:shd w:val="clear" w:color="auto" w:fill="auto"/>
            <w:vAlign w:val="center"/>
          </w:tcPr>
          <w:p>
            <w:pPr>
              <w:ind w:hanging="1"/>
              <w:jc w:val="right"/>
            </w:pPr>
            <w:r>
              <w:rPr>
                <w:b w:val="0"/>
                <w:i w:val="0"/>
                <w:strike w:val="0"/>
                <w:u w:val="none"/>
              </w:rPr>
              <w:t>21,681,452.05</w:t>
            </w:r>
          </w:p>
        </w:tc>
        <w:tc>
          <w:tcPr>
            <w:tcW w:w="2431" w:type="dxa"/>
            <w:shd w:val="clear" w:color="auto" w:fill="auto"/>
            <w:vAlign w:val="center"/>
          </w:tcPr>
          <w:p>
            <w:pPr>
              <w:ind w:hanging="1"/>
              <w:jc w:val="right"/>
            </w:pPr>
            <w:r>
              <w:rPr>
                <w:b w:val="0"/>
                <w:i w:val="0"/>
                <w:strike w:val="0"/>
                <w:u w:val="none"/>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24兴锦农业PPN001A</w:t>
            </w:r>
          </w:p>
        </w:tc>
        <w:tc>
          <w:tcPr>
            <w:tcW w:w="2693" w:type="dxa"/>
            <w:shd w:val="clear" w:color="auto" w:fill="auto"/>
            <w:vAlign w:val="center"/>
          </w:tcPr>
          <w:p>
            <w:pPr>
              <w:ind w:hanging="1"/>
              <w:jc w:val="right"/>
            </w:pPr>
            <w:r>
              <w:rPr>
                <w:b w:val="0"/>
                <w:i w:val="0"/>
                <w:strike w:val="0"/>
                <w:u w:val="none"/>
              </w:rPr>
              <w:t>20,748,893.15</w:t>
            </w:r>
          </w:p>
        </w:tc>
        <w:tc>
          <w:tcPr>
            <w:tcW w:w="2431" w:type="dxa"/>
            <w:shd w:val="clear" w:color="auto" w:fill="auto"/>
            <w:vAlign w:val="center"/>
          </w:tcPr>
          <w:p>
            <w:pPr>
              <w:ind w:hanging="1"/>
              <w:jc w:val="right"/>
            </w:pPr>
            <w:r>
              <w:rPr>
                <w:b w:val="0"/>
                <w:i w:val="0"/>
                <w:strike w:val="0"/>
                <w:u w:val="none"/>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24香发01</w:t>
            </w:r>
          </w:p>
        </w:tc>
        <w:tc>
          <w:tcPr>
            <w:tcW w:w="2693" w:type="dxa"/>
            <w:shd w:val="clear" w:color="auto" w:fill="auto"/>
            <w:vAlign w:val="center"/>
          </w:tcPr>
          <w:p>
            <w:pPr>
              <w:ind w:hanging="1"/>
              <w:jc w:val="right"/>
            </w:pPr>
            <w:r>
              <w:rPr>
                <w:b w:val="0"/>
                <w:i w:val="0"/>
                <w:strike w:val="0"/>
                <w:u w:val="none"/>
              </w:rPr>
              <w:t>20,671,232.88</w:t>
            </w:r>
          </w:p>
        </w:tc>
        <w:tc>
          <w:tcPr>
            <w:tcW w:w="2431" w:type="dxa"/>
            <w:shd w:val="clear" w:color="auto" w:fill="auto"/>
            <w:vAlign w:val="center"/>
          </w:tcPr>
          <w:p>
            <w:pPr>
              <w:ind w:hanging="1"/>
              <w:jc w:val="right"/>
            </w:pPr>
            <w:r>
              <w:rPr>
                <w:b w:val="0"/>
                <w:i w:val="0"/>
                <w:strike w:val="0"/>
                <w:u w:val="none"/>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20空港城发MTN002</w:t>
            </w:r>
          </w:p>
        </w:tc>
        <w:tc>
          <w:tcPr>
            <w:tcW w:w="2693" w:type="dxa"/>
            <w:shd w:val="clear" w:color="auto" w:fill="auto"/>
            <w:vAlign w:val="center"/>
          </w:tcPr>
          <w:p>
            <w:pPr>
              <w:ind w:hanging="1"/>
              <w:jc w:val="right"/>
            </w:pPr>
            <w:r>
              <w:rPr>
                <w:b w:val="0"/>
                <w:i w:val="0"/>
                <w:strike w:val="0"/>
                <w:u w:val="none"/>
              </w:rPr>
              <w:t>20,475,726.03</w:t>
            </w:r>
          </w:p>
        </w:tc>
        <w:tc>
          <w:tcPr>
            <w:tcW w:w="2431" w:type="dxa"/>
            <w:shd w:val="clear" w:color="auto" w:fill="auto"/>
            <w:vAlign w:val="center"/>
          </w:tcPr>
          <w:p>
            <w:pPr>
              <w:ind w:hanging="1"/>
              <w:jc w:val="right"/>
            </w:pPr>
            <w:r>
              <w:rPr>
                <w:b w:val="0"/>
                <w:i w:val="0"/>
                <w:strike w:val="0"/>
                <w:u w:val="none"/>
              </w:rPr>
              <w:t>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25秦农农商银行CD086</w:t>
            </w:r>
          </w:p>
        </w:tc>
        <w:tc>
          <w:tcPr>
            <w:tcW w:w="2693" w:type="dxa"/>
            <w:shd w:val="clear" w:color="auto" w:fill="auto"/>
            <w:vAlign w:val="center"/>
          </w:tcPr>
          <w:p>
            <w:pPr>
              <w:ind w:hanging="1"/>
              <w:jc w:val="right"/>
            </w:pPr>
            <w:r>
              <w:rPr>
                <w:b w:val="0"/>
                <w:i w:val="0"/>
                <w:strike w:val="0"/>
                <w:u w:val="none"/>
              </w:rPr>
              <w:t>19,906,932.61</w:t>
            </w:r>
          </w:p>
        </w:tc>
        <w:tc>
          <w:tcPr>
            <w:tcW w:w="2431" w:type="dxa"/>
            <w:shd w:val="clear" w:color="auto" w:fill="auto"/>
            <w:vAlign w:val="center"/>
          </w:tcPr>
          <w:p>
            <w:pPr>
              <w:ind w:hanging="1"/>
              <w:jc w:val="right"/>
            </w:pPr>
            <w:r>
              <w:rPr>
                <w:b w:val="0"/>
                <w:i w:val="0"/>
                <w:strike w:val="0"/>
                <w:u w:val="none"/>
              </w:rPr>
              <w:t>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24江苏银行CD189</w:t>
            </w:r>
          </w:p>
        </w:tc>
        <w:tc>
          <w:tcPr>
            <w:tcW w:w="2693" w:type="dxa"/>
            <w:shd w:val="clear" w:color="auto" w:fill="auto"/>
            <w:vAlign w:val="center"/>
          </w:tcPr>
          <w:p>
            <w:pPr>
              <w:ind w:hanging="1"/>
              <w:jc w:val="right"/>
            </w:pPr>
            <w:r>
              <w:rPr>
                <w:b w:val="0"/>
                <w:i w:val="0"/>
                <w:strike w:val="0"/>
                <w:u w:val="none"/>
              </w:rPr>
              <w:t>19,843,522.19</w:t>
            </w:r>
          </w:p>
        </w:tc>
        <w:tc>
          <w:tcPr>
            <w:tcW w:w="2431" w:type="dxa"/>
            <w:shd w:val="clear" w:color="auto" w:fill="auto"/>
            <w:vAlign w:val="center"/>
          </w:tcPr>
          <w:p>
            <w:pPr>
              <w:ind w:hanging="1"/>
              <w:jc w:val="right"/>
            </w:pPr>
            <w:r>
              <w:rPr>
                <w:b w:val="0"/>
                <w:i w:val="0"/>
                <w:strike w:val="0"/>
                <w:u w:val="none"/>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24稠州商行CD030</w:t>
            </w:r>
          </w:p>
        </w:tc>
        <w:tc>
          <w:tcPr>
            <w:tcW w:w="2693" w:type="dxa"/>
            <w:shd w:val="clear" w:color="auto" w:fill="auto"/>
            <w:vAlign w:val="center"/>
          </w:tcPr>
          <w:p>
            <w:pPr>
              <w:ind w:hanging="1"/>
              <w:jc w:val="right"/>
            </w:pPr>
            <w:r>
              <w:rPr>
                <w:b w:val="0"/>
                <w:i w:val="0"/>
                <w:strike w:val="0"/>
                <w:u w:val="none"/>
              </w:rPr>
              <w:t>19,814,844.93</w:t>
            </w:r>
          </w:p>
        </w:tc>
        <w:tc>
          <w:tcPr>
            <w:tcW w:w="2431" w:type="dxa"/>
            <w:shd w:val="clear" w:color="auto" w:fill="auto"/>
            <w:vAlign w:val="center"/>
          </w:tcPr>
          <w:p>
            <w:pPr>
              <w:ind w:hanging="1"/>
              <w:jc w:val="right"/>
            </w:pPr>
            <w:r>
              <w:rPr>
                <w:b w:val="0"/>
                <w:i w:val="0"/>
                <w:strike w:val="0"/>
                <w:u w:val="none"/>
              </w:rPr>
              <w:t>5.16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宋体" w:hAnsi="宋体" w:eastAsia="宋体" w:cs="Times New Roman"/>
          <w:szCs w:val="21"/>
        </w:rPr>
        <w:t>本报告期末，本产品投资的22凉山发展MTN001</w:t>
      </w:r>
      <w:r>
        <w:rPr>
          <w:rFonts w:hint="eastAsia" w:ascii="宋体" w:hAnsi="宋体" w:cs="Times New Roman"/>
          <w:szCs w:val="21"/>
          <w:lang w:eastAsia="zh-CN"/>
        </w:rPr>
        <w:t>、</w:t>
      </w:r>
      <w:r>
        <w:rPr>
          <w:rFonts w:hint="eastAsia" w:ascii="宋体" w:hAnsi="宋体" w:eastAsia="宋体" w:cs="Times New Roman"/>
          <w:szCs w:val="21"/>
        </w:rPr>
        <w:t>21</w:t>
      </w:r>
      <w:bookmarkStart w:id="5" w:name="_GoBack"/>
      <w:bookmarkEnd w:id="5"/>
      <w:r>
        <w:rPr>
          <w:rFonts w:hint="eastAsia" w:ascii="宋体" w:hAnsi="宋体" w:eastAsia="宋体" w:cs="Times New Roman"/>
          <w:szCs w:val="21"/>
        </w:rPr>
        <w:t>攀国投属于关联交易。</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20D2A7F"/>
    <w:rsid w:val="15D72DD2"/>
    <w:rsid w:val="1DD13355"/>
    <w:rsid w:val="1F246194"/>
    <w:rsid w:val="21AF23DE"/>
    <w:rsid w:val="250932D9"/>
    <w:rsid w:val="30D863E3"/>
    <w:rsid w:val="35706056"/>
    <w:rsid w:val="35844C1F"/>
    <w:rsid w:val="378A66D0"/>
    <w:rsid w:val="46050EA9"/>
    <w:rsid w:val="49D862C5"/>
    <w:rsid w:val="4B474E5A"/>
    <w:rsid w:val="51E06E0A"/>
    <w:rsid w:val="53167101"/>
    <w:rsid w:val="5B5FA6DC"/>
    <w:rsid w:val="60B57D88"/>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2025-04-16T09:22:58Z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