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四川银行定开系列3个月6号净值型理财产品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650,174,800.00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9.15</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5,043,368.98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3,307,325.40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652,478,435.29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652,478,435.29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1.0915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516,905,639.18</w:t>
            </w:r>
          </w:p>
        </w:tc>
        <w:tc>
          <w:tcPr>
            <w:tcW w:w="1749" w:type="dxa"/>
            <w:shd w:val="clear" w:color="auto" w:fill="auto"/>
            <w:vAlign w:val="center"/>
          </w:tcPr>
          <w:p>
            <w:pPr>
              <w:jc w:val="right"/>
            </w:pPr>
            <w:r>
              <w:t>78.90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516,905,639.18</w:t>
            </w:r>
          </w:p>
        </w:tc>
        <w:tc>
          <w:tcPr>
            <w:tcW w:w="1749" w:type="dxa"/>
            <w:shd w:val="clear" w:color="auto" w:fill="auto"/>
            <w:vAlign w:val="center"/>
          </w:tcPr>
          <w:p>
            <w:pPr>
              <w:jc w:val="right"/>
            </w:pPr>
            <w:r>
              <w:t>78.90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90,028,777.45</w:t>
            </w:r>
          </w:p>
        </w:tc>
        <w:tc>
          <w:tcPr>
            <w:tcW w:w="1749" w:type="dxa"/>
            <w:shd w:val="clear" w:color="auto" w:fill="auto"/>
            <w:vAlign w:val="center"/>
          </w:tcPr>
          <w:p>
            <w:pPr>
              <w:jc w:val="right"/>
            </w:pPr>
            <w:r>
              <w:t>13.74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47,948,077.01</w:t>
            </w:r>
          </w:p>
        </w:tc>
        <w:tc>
          <w:tcPr>
            <w:tcW w:w="1749" w:type="dxa"/>
            <w:shd w:val="clear" w:color="auto" w:fill="auto"/>
            <w:vAlign w:val="center"/>
          </w:tcPr>
          <w:p>
            <w:pPr>
              <w:jc w:val="right"/>
            </w:pPr>
            <w:r>
              <w:t>7.32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281,464.56</w:t>
            </w:r>
          </w:p>
        </w:tc>
        <w:tc>
          <w:tcPr>
            <w:tcW w:w="1749" w:type="dxa"/>
            <w:shd w:val="clear" w:color="auto" w:fill="auto"/>
            <w:vAlign w:val="center"/>
          </w:tcPr>
          <w:p>
            <w:pPr>
              <w:jc w:val="right"/>
            </w:pPr>
            <w:r>
              <w:t>0.04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655,163,958.20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90,028,777.45</w:t>
            </w:r>
          </w:p>
        </w:tc>
        <w:tc>
          <w:tcPr>
            <w:tcW w:w="2431" w:type="dxa"/>
            <w:shd w:val="clear" w:color="auto" w:fill="auto"/>
            <w:vAlign w:val="center"/>
          </w:tcPr>
          <w:p>
            <w:pPr>
              <w:jc w:val="right"/>
            </w:pPr>
            <w:bookmarkStart w:id="3" w:name="OLE_LINK5"/>
            <w:bookmarkEnd w:id="3"/>
            <w:bookmarkStart w:id="4" w:name="OLE_LINK6"/>
            <w:bookmarkEnd w:id="4"/>
            <w:r>
              <w:rPr>
                <w:rFonts w:hint="eastAsia"/>
              </w:rPr>
              <w:t>13.80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25深圳前海微众银行CD008</w:t>
            </w:r>
          </w:p>
        </w:tc>
        <w:tc>
          <w:tcPr>
            <w:tcW w:w="2693" w:type="dxa"/>
            <w:shd w:val="clear" w:color="auto" w:fill="auto"/>
            <w:vAlign w:val="center"/>
          </w:tcPr>
          <w:p>
            <w:pPr>
              <w:ind w:hanging="1"/>
              <w:jc w:val="right"/>
            </w:pPr>
            <w:r>
              <w:rPr>
                <w:b w:val="0"/>
                <w:i w:val="0"/>
                <w:strike w:val="0"/>
                <w:u w:val="none"/>
              </w:rPr>
              <w:t>29,936,870.56</w:t>
            </w:r>
          </w:p>
        </w:tc>
        <w:tc>
          <w:tcPr>
            <w:tcW w:w="2431" w:type="dxa"/>
            <w:shd w:val="clear" w:color="auto" w:fill="auto"/>
            <w:vAlign w:val="center"/>
          </w:tcPr>
          <w:p>
            <w:pPr>
              <w:ind w:hanging="1"/>
              <w:jc w:val="right"/>
            </w:pPr>
            <w:r>
              <w:rPr>
                <w:b w:val="0"/>
                <w:i w:val="0"/>
                <w:strike w:val="0"/>
                <w:u w:val="none"/>
              </w:rPr>
              <w:t>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24富滇银行CD117</w:t>
            </w:r>
          </w:p>
        </w:tc>
        <w:tc>
          <w:tcPr>
            <w:tcW w:w="2693" w:type="dxa"/>
            <w:shd w:val="clear" w:color="auto" w:fill="auto"/>
            <w:vAlign w:val="center"/>
          </w:tcPr>
          <w:p>
            <w:pPr>
              <w:ind w:hanging="1"/>
              <w:jc w:val="right"/>
            </w:pPr>
            <w:r>
              <w:rPr>
                <w:b w:val="0"/>
                <w:i w:val="0"/>
                <w:strike w:val="0"/>
                <w:u w:val="none"/>
              </w:rPr>
              <w:t>29,821,347.45</w:t>
            </w:r>
          </w:p>
        </w:tc>
        <w:tc>
          <w:tcPr>
            <w:tcW w:w="2431" w:type="dxa"/>
            <w:shd w:val="clear" w:color="auto" w:fill="auto"/>
            <w:vAlign w:val="center"/>
          </w:tcPr>
          <w:p>
            <w:pPr>
              <w:ind w:hanging="1"/>
              <w:jc w:val="right"/>
            </w:pPr>
            <w:r>
              <w:rPr>
                <w:b w:val="0"/>
                <w:i w:val="0"/>
                <w:strike w:val="0"/>
                <w:u w:val="none"/>
              </w:rPr>
              <w:t>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25贵州银行CD011</w:t>
            </w:r>
          </w:p>
        </w:tc>
        <w:tc>
          <w:tcPr>
            <w:tcW w:w="2693" w:type="dxa"/>
            <w:shd w:val="clear" w:color="auto" w:fill="auto"/>
            <w:vAlign w:val="center"/>
          </w:tcPr>
          <w:p>
            <w:pPr>
              <w:ind w:hanging="1"/>
              <w:jc w:val="right"/>
            </w:pPr>
            <w:r>
              <w:rPr>
                <w:b w:val="0"/>
                <w:i w:val="0"/>
                <w:strike w:val="0"/>
                <w:u w:val="none"/>
              </w:rPr>
              <w:t>29,482,520.55</w:t>
            </w:r>
          </w:p>
        </w:tc>
        <w:tc>
          <w:tcPr>
            <w:tcW w:w="2431" w:type="dxa"/>
            <w:shd w:val="clear" w:color="auto" w:fill="auto"/>
            <w:vAlign w:val="center"/>
          </w:tcPr>
          <w:p>
            <w:pPr>
              <w:ind w:hanging="1"/>
              <w:jc w:val="right"/>
            </w:pPr>
            <w:r>
              <w:rPr>
                <w:b w:val="0"/>
                <w:i w:val="0"/>
                <w:strike w:val="0"/>
                <w:u w:val="none"/>
              </w:rPr>
              <w:t>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24龙驰01</w:t>
            </w:r>
          </w:p>
        </w:tc>
        <w:tc>
          <w:tcPr>
            <w:tcW w:w="2693" w:type="dxa"/>
            <w:shd w:val="clear" w:color="auto" w:fill="auto"/>
            <w:vAlign w:val="center"/>
          </w:tcPr>
          <w:p>
            <w:pPr>
              <w:ind w:hanging="1"/>
              <w:jc w:val="right"/>
            </w:pPr>
            <w:r>
              <w:rPr>
                <w:b w:val="0"/>
                <w:i w:val="0"/>
                <w:strike w:val="0"/>
                <w:u w:val="none"/>
              </w:rPr>
              <w:t>26,428,904.11</w:t>
            </w:r>
          </w:p>
        </w:tc>
        <w:tc>
          <w:tcPr>
            <w:tcW w:w="2431" w:type="dxa"/>
            <w:shd w:val="clear" w:color="auto" w:fill="auto"/>
            <w:vAlign w:val="center"/>
          </w:tcPr>
          <w:p>
            <w:pPr>
              <w:ind w:hanging="1"/>
              <w:jc w:val="right"/>
            </w:pPr>
            <w:r>
              <w:rPr>
                <w:b w:val="0"/>
                <w:i w:val="0"/>
                <w:strike w:val="0"/>
                <w:u w:val="none"/>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20香城投资MTN002</w:t>
            </w:r>
          </w:p>
        </w:tc>
        <w:tc>
          <w:tcPr>
            <w:tcW w:w="2693" w:type="dxa"/>
            <w:shd w:val="clear" w:color="auto" w:fill="auto"/>
            <w:vAlign w:val="center"/>
          </w:tcPr>
          <w:p>
            <w:pPr>
              <w:ind w:hanging="1"/>
              <w:jc w:val="right"/>
            </w:pPr>
            <w:r>
              <w:rPr>
                <w:b w:val="0"/>
                <w:i w:val="0"/>
                <w:strike w:val="0"/>
                <w:u w:val="none"/>
              </w:rPr>
              <w:t>20,538,657.53</w:t>
            </w:r>
          </w:p>
        </w:tc>
        <w:tc>
          <w:tcPr>
            <w:tcW w:w="2431" w:type="dxa"/>
            <w:shd w:val="clear" w:color="auto" w:fill="auto"/>
            <w:vAlign w:val="center"/>
          </w:tcPr>
          <w:p>
            <w:pPr>
              <w:ind w:hanging="1"/>
              <w:jc w:val="right"/>
            </w:pPr>
            <w:r>
              <w:rPr>
                <w:b w:val="0"/>
                <w:i w:val="0"/>
                <w:strike w:val="0"/>
                <w:u w:val="none"/>
              </w:rPr>
              <w:t>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20,513,698.63</w:t>
            </w:r>
          </w:p>
        </w:tc>
        <w:tc>
          <w:tcPr>
            <w:tcW w:w="2431" w:type="dxa"/>
            <w:shd w:val="clear" w:color="auto" w:fill="auto"/>
            <w:vAlign w:val="center"/>
          </w:tcPr>
          <w:p>
            <w:pPr>
              <w:ind w:hanging="1"/>
              <w:jc w:val="right"/>
            </w:pPr>
            <w:r>
              <w:rPr>
                <w:b w:val="0"/>
                <w:i w:val="0"/>
                <w:strike w:val="0"/>
                <w:u w:val="none"/>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24贵州银行CD053</w:t>
            </w:r>
          </w:p>
        </w:tc>
        <w:tc>
          <w:tcPr>
            <w:tcW w:w="2693" w:type="dxa"/>
            <w:shd w:val="clear" w:color="auto" w:fill="auto"/>
            <w:vAlign w:val="center"/>
          </w:tcPr>
          <w:p>
            <w:pPr>
              <w:ind w:hanging="1"/>
              <w:jc w:val="right"/>
            </w:pPr>
            <w:r>
              <w:rPr>
                <w:b w:val="0"/>
                <w:i w:val="0"/>
                <w:strike w:val="0"/>
                <w:u w:val="none"/>
              </w:rPr>
              <w:t>19,982,807.95</w:t>
            </w:r>
          </w:p>
        </w:tc>
        <w:tc>
          <w:tcPr>
            <w:tcW w:w="2431" w:type="dxa"/>
            <w:shd w:val="clear" w:color="auto" w:fill="auto"/>
            <w:vAlign w:val="center"/>
          </w:tcPr>
          <w:p>
            <w:pPr>
              <w:ind w:hanging="1"/>
              <w:jc w:val="right"/>
            </w:pPr>
            <w:r>
              <w:rPr>
                <w:b w:val="0"/>
                <w:i w:val="0"/>
                <w:strike w:val="0"/>
                <w:u w:val="none"/>
              </w:rPr>
              <w:t>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24稠州商行CD040</w:t>
            </w:r>
          </w:p>
        </w:tc>
        <w:tc>
          <w:tcPr>
            <w:tcW w:w="2693" w:type="dxa"/>
            <w:shd w:val="clear" w:color="auto" w:fill="auto"/>
            <w:vAlign w:val="center"/>
          </w:tcPr>
          <w:p>
            <w:pPr>
              <w:ind w:hanging="1"/>
              <w:jc w:val="right"/>
            </w:pPr>
            <w:r>
              <w:rPr>
                <w:b w:val="0"/>
                <w:i w:val="0"/>
                <w:strike w:val="0"/>
                <w:u w:val="none"/>
              </w:rPr>
              <w:t>19,757,875.73</w:t>
            </w:r>
          </w:p>
        </w:tc>
        <w:tc>
          <w:tcPr>
            <w:tcW w:w="2431" w:type="dxa"/>
            <w:shd w:val="clear" w:color="auto" w:fill="auto"/>
            <w:vAlign w:val="center"/>
          </w:tcPr>
          <w:p>
            <w:pPr>
              <w:ind w:hanging="1"/>
              <w:jc w:val="right"/>
            </w:pPr>
            <w:r>
              <w:rPr>
                <w:b w:val="0"/>
                <w:i w:val="0"/>
                <w:strike w:val="0"/>
                <w:u w:val="none"/>
              </w:rPr>
              <w:t>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25广西北部湾银行CD023</w:t>
            </w:r>
          </w:p>
        </w:tc>
        <w:tc>
          <w:tcPr>
            <w:tcW w:w="2693" w:type="dxa"/>
            <w:shd w:val="clear" w:color="auto" w:fill="auto"/>
            <w:vAlign w:val="center"/>
          </w:tcPr>
          <w:p>
            <w:pPr>
              <w:ind w:hanging="1"/>
              <w:jc w:val="right"/>
            </w:pPr>
            <w:r>
              <w:rPr>
                <w:b w:val="0"/>
                <w:i w:val="0"/>
                <w:strike w:val="0"/>
                <w:u w:val="none"/>
              </w:rPr>
              <w:t>19,757,725.27</w:t>
            </w:r>
          </w:p>
        </w:tc>
        <w:tc>
          <w:tcPr>
            <w:tcW w:w="2431" w:type="dxa"/>
            <w:shd w:val="clear" w:color="auto" w:fill="auto"/>
            <w:vAlign w:val="center"/>
          </w:tcPr>
          <w:p>
            <w:pPr>
              <w:ind w:hanging="1"/>
              <w:jc w:val="right"/>
            </w:pPr>
            <w:r>
              <w:rPr>
                <w:b w:val="0"/>
                <w:i w:val="0"/>
                <w:strike w:val="0"/>
                <w:u w:val="none"/>
              </w:rPr>
              <w:t>3.03</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spacing w:line="360" w:lineRule="auto"/>
        <w:ind w:right="-107" w:rightChars="-51" w:firstLine="420" w:firstLineChars="200"/>
        <w:jc w:val="left"/>
        <w:rPr>
          <w:rFonts w:hint="eastAsia" w:ascii="宋体" w:hAnsi="宋体"/>
          <w:szCs w:val="21"/>
        </w:rPr>
      </w:pPr>
      <w:r>
        <w:rPr>
          <w:rFonts w:hint="eastAsia" w:asciiTheme="minorEastAsia" w:hAnsiTheme="minorEastAsia" w:eastAsiaTheme="minorEastAsia"/>
          <w:szCs w:val="21"/>
        </w:rPr>
        <w:t>本报告期末，本产品投资的</w:t>
      </w:r>
      <w:r>
        <w:rPr>
          <w:rFonts w:hint="eastAsia" w:ascii="宋体" w:hAnsi="宋体"/>
          <w:szCs w:val="21"/>
        </w:rPr>
        <w:t>22凉山发展MTN001</w:t>
      </w:r>
      <w:r>
        <w:rPr>
          <w:rFonts w:hint="eastAsia" w:asciiTheme="minorEastAsia" w:hAnsiTheme="minorEastAsia" w:eastAsiaTheme="minorEastAsia"/>
          <w:szCs w:val="21"/>
        </w:rPr>
        <w:t>属于关联交易。</w:t>
      </w:r>
      <w:bookmarkStart w:id="5" w:name="_GoBack"/>
      <w:bookmarkEnd w:id="5"/>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7B31A8F"/>
    <w:rsid w:val="67F658F7"/>
    <w:rsid w:val="6AEF49CE"/>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2025-04-16T10:44:53Z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