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四川银行定开系列3个月5号净值型理财产品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402,784,000.00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9.16</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3,265,587.77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2,356,294.68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404,489,493.38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404,489,493.38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1.0916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273,424,073.90</w:t>
            </w:r>
          </w:p>
        </w:tc>
        <w:tc>
          <w:tcPr>
            <w:tcW w:w="1749" w:type="dxa"/>
            <w:shd w:val="clear" w:color="auto" w:fill="auto"/>
            <w:vAlign w:val="center"/>
          </w:tcPr>
          <w:p>
            <w:pPr>
              <w:jc w:val="right"/>
            </w:pPr>
            <w:r>
              <w:t>67.12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273,424,073.90</w:t>
            </w:r>
          </w:p>
        </w:tc>
        <w:tc>
          <w:tcPr>
            <w:tcW w:w="1749" w:type="dxa"/>
            <w:shd w:val="clear" w:color="auto" w:fill="auto"/>
            <w:vAlign w:val="center"/>
          </w:tcPr>
          <w:p>
            <w:pPr>
              <w:jc w:val="right"/>
            </w:pPr>
            <w:r>
              <w:t>67.12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103,032,934.20</w:t>
            </w:r>
          </w:p>
        </w:tc>
        <w:tc>
          <w:tcPr>
            <w:tcW w:w="1749" w:type="dxa"/>
            <w:shd w:val="clear" w:color="auto" w:fill="auto"/>
            <w:vAlign w:val="center"/>
          </w:tcPr>
          <w:p>
            <w:pPr>
              <w:jc w:val="right"/>
            </w:pPr>
            <w:r>
              <w:t>25.29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30,745,149.51</w:t>
            </w:r>
          </w:p>
        </w:tc>
        <w:tc>
          <w:tcPr>
            <w:tcW w:w="1749" w:type="dxa"/>
            <w:shd w:val="clear" w:color="auto" w:fill="auto"/>
            <w:vAlign w:val="center"/>
          </w:tcPr>
          <w:p>
            <w:pPr>
              <w:jc w:val="right"/>
            </w:pPr>
            <w:r>
              <w:t>7.55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171,188.89</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407,373,346.50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103,032,934.20</w:t>
            </w:r>
          </w:p>
        </w:tc>
        <w:tc>
          <w:tcPr>
            <w:tcW w:w="2431" w:type="dxa"/>
            <w:shd w:val="clear" w:color="auto" w:fill="auto"/>
            <w:vAlign w:val="center"/>
          </w:tcPr>
          <w:p>
            <w:pPr>
              <w:jc w:val="right"/>
            </w:pPr>
            <w:bookmarkStart w:id="3" w:name="OLE_LINK6"/>
            <w:bookmarkEnd w:id="3"/>
            <w:bookmarkStart w:id="4" w:name="OLE_LINK5"/>
            <w:bookmarkEnd w:id="4"/>
            <w:r>
              <w:rPr>
                <w:rFonts w:hint="eastAsia"/>
              </w:rPr>
              <w:t>25.47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25上海银行CD041</w:t>
            </w:r>
          </w:p>
        </w:tc>
        <w:tc>
          <w:tcPr>
            <w:tcW w:w="2693" w:type="dxa"/>
            <w:shd w:val="clear" w:color="auto" w:fill="auto"/>
            <w:vAlign w:val="center"/>
          </w:tcPr>
          <w:p>
            <w:pPr>
              <w:ind w:hanging="1"/>
              <w:jc w:val="right"/>
            </w:pPr>
            <w:r>
              <w:rPr>
                <w:b w:val="0"/>
                <w:i w:val="0"/>
                <w:strike w:val="0"/>
                <w:u w:val="none"/>
              </w:rPr>
              <w:t>39,957,023.23</w:t>
            </w:r>
          </w:p>
        </w:tc>
        <w:tc>
          <w:tcPr>
            <w:tcW w:w="2431" w:type="dxa"/>
            <w:shd w:val="clear" w:color="auto" w:fill="auto"/>
            <w:vAlign w:val="center"/>
          </w:tcPr>
          <w:p>
            <w:pPr>
              <w:ind w:hanging="1"/>
              <w:jc w:val="right"/>
            </w:pPr>
            <w:r>
              <w:rPr>
                <w:b w:val="0"/>
                <w:i w:val="0"/>
                <w:strike w:val="0"/>
                <w:u w:val="none"/>
              </w:rPr>
              <w:t>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24达州03</w:t>
            </w:r>
          </w:p>
        </w:tc>
        <w:tc>
          <w:tcPr>
            <w:tcW w:w="2693" w:type="dxa"/>
            <w:shd w:val="clear" w:color="auto" w:fill="auto"/>
            <w:vAlign w:val="center"/>
          </w:tcPr>
          <w:p>
            <w:pPr>
              <w:ind w:hanging="1"/>
              <w:jc w:val="right"/>
            </w:pPr>
            <w:r>
              <w:rPr>
                <w:b w:val="0"/>
                <w:i w:val="0"/>
                <w:strike w:val="0"/>
                <w:u w:val="none"/>
              </w:rPr>
              <w:t>23,538,136.99</w:t>
            </w:r>
          </w:p>
        </w:tc>
        <w:tc>
          <w:tcPr>
            <w:tcW w:w="2431" w:type="dxa"/>
            <w:shd w:val="clear" w:color="auto" w:fill="auto"/>
            <w:vAlign w:val="center"/>
          </w:tcPr>
          <w:p>
            <w:pPr>
              <w:ind w:hanging="1"/>
              <w:jc w:val="right"/>
            </w:pPr>
            <w:r>
              <w:rPr>
                <w:b w:val="0"/>
                <w:i w:val="0"/>
                <w:strike w:val="0"/>
                <w:u w:val="none"/>
              </w:rP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24乌鲁木齐银行CD126</w:t>
            </w:r>
          </w:p>
        </w:tc>
        <w:tc>
          <w:tcPr>
            <w:tcW w:w="2693" w:type="dxa"/>
            <w:shd w:val="clear" w:color="auto" w:fill="auto"/>
            <w:vAlign w:val="center"/>
          </w:tcPr>
          <w:p>
            <w:pPr>
              <w:ind w:hanging="1"/>
              <w:jc w:val="right"/>
            </w:pPr>
            <w:r>
              <w:rPr>
                <w:b w:val="0"/>
                <w:i w:val="0"/>
                <w:strike w:val="0"/>
                <w:u w:val="none"/>
              </w:rPr>
              <w:t>19,862,457.86</w:t>
            </w:r>
          </w:p>
        </w:tc>
        <w:tc>
          <w:tcPr>
            <w:tcW w:w="2431" w:type="dxa"/>
            <w:shd w:val="clear" w:color="auto" w:fill="auto"/>
            <w:vAlign w:val="center"/>
          </w:tcPr>
          <w:p>
            <w:pPr>
              <w:ind w:hanging="1"/>
              <w:jc w:val="right"/>
            </w:pPr>
            <w:r>
              <w:rPr>
                <w:b w:val="0"/>
                <w:i w:val="0"/>
                <w:strike w:val="0"/>
                <w:u w:val="none"/>
              </w:rPr>
              <w:t>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24稠州商行CD040</w:t>
            </w:r>
          </w:p>
        </w:tc>
        <w:tc>
          <w:tcPr>
            <w:tcW w:w="2693" w:type="dxa"/>
            <w:shd w:val="clear" w:color="auto" w:fill="auto"/>
            <w:vAlign w:val="center"/>
          </w:tcPr>
          <w:p>
            <w:pPr>
              <w:ind w:hanging="1"/>
              <w:jc w:val="right"/>
            </w:pPr>
            <w:r>
              <w:rPr>
                <w:b w:val="0"/>
                <w:i w:val="0"/>
                <w:strike w:val="0"/>
                <w:u w:val="none"/>
              </w:rPr>
              <w:t>19,757,875.73</w:t>
            </w:r>
          </w:p>
        </w:tc>
        <w:tc>
          <w:tcPr>
            <w:tcW w:w="2431" w:type="dxa"/>
            <w:shd w:val="clear" w:color="auto" w:fill="auto"/>
            <w:vAlign w:val="center"/>
          </w:tcPr>
          <w:p>
            <w:pPr>
              <w:ind w:hanging="1"/>
              <w:jc w:val="right"/>
            </w:pPr>
            <w:r>
              <w:rPr>
                <w:b w:val="0"/>
                <w:i w:val="0"/>
                <w:strike w:val="0"/>
                <w:u w:val="none"/>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15,293,391.78</w:t>
            </w:r>
          </w:p>
        </w:tc>
        <w:tc>
          <w:tcPr>
            <w:tcW w:w="2431" w:type="dxa"/>
            <w:shd w:val="clear" w:color="auto" w:fill="auto"/>
            <w:vAlign w:val="center"/>
          </w:tcPr>
          <w:p>
            <w:pPr>
              <w:ind w:hanging="1"/>
              <w:jc w:val="right"/>
            </w:pPr>
            <w:r>
              <w:rPr>
                <w:b w:val="0"/>
                <w:i w:val="0"/>
                <w:strike w:val="0"/>
                <w:u w:val="none"/>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24东坡01</w:t>
            </w:r>
          </w:p>
        </w:tc>
        <w:tc>
          <w:tcPr>
            <w:tcW w:w="2693" w:type="dxa"/>
            <w:shd w:val="clear" w:color="auto" w:fill="auto"/>
            <w:vAlign w:val="center"/>
          </w:tcPr>
          <w:p>
            <w:pPr>
              <w:ind w:hanging="1"/>
              <w:jc w:val="right"/>
            </w:pPr>
            <w:r>
              <w:rPr>
                <w:b w:val="0"/>
                <w:i w:val="0"/>
                <w:strike w:val="0"/>
                <w:u w:val="none"/>
              </w:rPr>
              <w:t>14,169,994.52</w:t>
            </w:r>
          </w:p>
        </w:tc>
        <w:tc>
          <w:tcPr>
            <w:tcW w:w="2431" w:type="dxa"/>
            <w:shd w:val="clear" w:color="auto" w:fill="auto"/>
            <w:vAlign w:val="center"/>
          </w:tcPr>
          <w:p>
            <w:pPr>
              <w:ind w:hanging="1"/>
              <w:jc w:val="right"/>
            </w:pPr>
            <w:r>
              <w:rPr>
                <w:b w:val="0"/>
                <w:i w:val="0"/>
                <w:strike w:val="0"/>
                <w:u w:val="none"/>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22湔江01</w:t>
            </w:r>
          </w:p>
        </w:tc>
        <w:tc>
          <w:tcPr>
            <w:tcW w:w="2693" w:type="dxa"/>
            <w:shd w:val="clear" w:color="auto" w:fill="auto"/>
            <w:vAlign w:val="center"/>
          </w:tcPr>
          <w:p>
            <w:pPr>
              <w:ind w:hanging="1"/>
              <w:jc w:val="right"/>
            </w:pPr>
            <w:r>
              <w:rPr>
                <w:b w:val="0"/>
                <w:i w:val="0"/>
                <w:strike w:val="0"/>
                <w:u w:val="none"/>
              </w:rPr>
              <w:t>11,332,802.74</w:t>
            </w:r>
          </w:p>
        </w:tc>
        <w:tc>
          <w:tcPr>
            <w:tcW w:w="2431" w:type="dxa"/>
            <w:shd w:val="clear" w:color="auto" w:fill="auto"/>
            <w:vAlign w:val="center"/>
          </w:tcPr>
          <w:p>
            <w:pPr>
              <w:ind w:hanging="1"/>
              <w:jc w:val="right"/>
            </w:pPr>
            <w:r>
              <w:rPr>
                <w:b w:val="0"/>
                <w:i w:val="0"/>
                <w:strike w:val="0"/>
                <w:u w:val="none"/>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24成经D2</w:t>
            </w:r>
          </w:p>
        </w:tc>
        <w:tc>
          <w:tcPr>
            <w:tcW w:w="2693" w:type="dxa"/>
            <w:shd w:val="clear" w:color="auto" w:fill="auto"/>
            <w:vAlign w:val="center"/>
          </w:tcPr>
          <w:p>
            <w:pPr>
              <w:ind w:hanging="1"/>
              <w:jc w:val="right"/>
            </w:pPr>
            <w:r>
              <w:rPr>
                <w:b w:val="0"/>
                <w:i w:val="0"/>
                <w:strike w:val="0"/>
                <w:u w:val="none"/>
              </w:rPr>
              <w:t>11,220,331.51</w:t>
            </w:r>
          </w:p>
        </w:tc>
        <w:tc>
          <w:tcPr>
            <w:tcW w:w="2431" w:type="dxa"/>
            <w:shd w:val="clear" w:color="auto" w:fill="auto"/>
            <w:vAlign w:val="center"/>
          </w:tcPr>
          <w:p>
            <w:pPr>
              <w:ind w:hanging="1"/>
              <w:jc w:val="right"/>
            </w:pPr>
            <w:r>
              <w:rPr>
                <w:b w:val="0"/>
                <w:i w:val="0"/>
                <w:strike w:val="0"/>
                <w:u w:val="none"/>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23达州高科MTN001</w:t>
            </w:r>
          </w:p>
        </w:tc>
        <w:tc>
          <w:tcPr>
            <w:tcW w:w="2693" w:type="dxa"/>
            <w:shd w:val="clear" w:color="auto" w:fill="auto"/>
            <w:vAlign w:val="center"/>
          </w:tcPr>
          <w:p>
            <w:pPr>
              <w:ind w:hanging="1"/>
              <w:jc w:val="right"/>
            </w:pPr>
            <w:r>
              <w:rPr>
                <w:b w:val="0"/>
                <w:i w:val="0"/>
                <w:strike w:val="0"/>
                <w:u w:val="none"/>
              </w:rPr>
              <w:t>10,509,972.60</w:t>
            </w:r>
          </w:p>
        </w:tc>
        <w:tc>
          <w:tcPr>
            <w:tcW w:w="2431" w:type="dxa"/>
            <w:shd w:val="clear" w:color="auto" w:fill="auto"/>
            <w:vAlign w:val="center"/>
          </w:tcPr>
          <w:p>
            <w:pPr>
              <w:ind w:hanging="1"/>
              <w:jc w:val="right"/>
            </w:pPr>
            <w:r>
              <w:rPr>
                <w:b w:val="0"/>
                <w:i w:val="0"/>
                <w:strike w:val="0"/>
                <w:u w:val="none"/>
              </w:rPr>
              <w:t>2.60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rPr>
        <w:t>本报告期末，本产品投资的</w:t>
      </w:r>
      <w:r>
        <w:rPr>
          <w:rFonts w:hint="eastAsia" w:ascii="宋体" w:hAnsi="宋体"/>
          <w:szCs w:val="21"/>
        </w:rPr>
        <w:t>22凉山发展MTN001</w:t>
      </w:r>
      <w:r>
        <w:rPr>
          <w:rFonts w:hint="eastAsia" w:ascii="宋体" w:hAnsi="宋体"/>
          <w:szCs w:val="21"/>
          <w:lang w:eastAsia="zh-CN"/>
        </w:rPr>
        <w:t>、21攀国投</w:t>
      </w:r>
      <w:bookmarkStart w:id="5" w:name="_GoBack"/>
      <w:bookmarkEnd w:id="5"/>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5CB60A6"/>
    <w:rsid w:val="289519AB"/>
    <w:rsid w:val="30D863E3"/>
    <w:rsid w:val="35706056"/>
    <w:rsid w:val="35844C1F"/>
    <w:rsid w:val="35975C9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2025-04-16T10:43:49Z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