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四川银行定开系列3个月2号净值型理财产品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337,967,000.00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9.47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2,848,553.51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2,003,926.60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339,802,696.71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339,802,696.71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1.0947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256,598,297.02</w:t>
            </w:r>
          </w:p>
        </w:tc>
        <w:tc>
          <w:tcPr>
            <w:tcW w:w="1749" w:type="dxa"/>
            <w:shd w:val="clear" w:color="auto" w:fill="auto"/>
            <w:vAlign w:val="center"/>
          </w:tcPr>
          <w:p>
            <w:pPr>
              <w:jc w:val="right"/>
            </w:pPr>
            <w:r>
              <w:t>74.62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242,047,320.28</w:t>
            </w:r>
          </w:p>
        </w:tc>
        <w:tc>
          <w:tcPr>
            <w:tcW w:w="1749" w:type="dxa"/>
            <w:shd w:val="clear" w:color="auto" w:fill="auto"/>
            <w:vAlign w:val="center"/>
          </w:tcPr>
          <w:p>
            <w:pPr>
              <w:jc w:val="right"/>
            </w:pPr>
            <w:r>
              <w:t>70.39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14,550,976.74</w:t>
            </w:r>
          </w:p>
        </w:tc>
        <w:tc>
          <w:tcPr>
            <w:tcW w:w="1749" w:type="dxa"/>
            <w:shd w:val="clear" w:color="auto" w:fill="auto"/>
            <w:vAlign w:val="center"/>
          </w:tcPr>
          <w:p>
            <w:pPr>
              <w:jc w:val="right"/>
            </w:pPr>
            <w:r>
              <w:t>4.23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68,021,742.95</w:t>
            </w:r>
          </w:p>
        </w:tc>
        <w:tc>
          <w:tcPr>
            <w:tcW w:w="1749" w:type="dxa"/>
            <w:shd w:val="clear" w:color="auto" w:fill="auto"/>
            <w:vAlign w:val="center"/>
          </w:tcPr>
          <w:p>
            <w:pPr>
              <w:jc w:val="right"/>
            </w:pPr>
            <w:r>
              <w:t>19.78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19,093,952.10</w:t>
            </w:r>
          </w:p>
        </w:tc>
        <w:tc>
          <w:tcPr>
            <w:tcW w:w="1749" w:type="dxa"/>
            <w:shd w:val="clear" w:color="auto" w:fill="auto"/>
            <w:vAlign w:val="center"/>
          </w:tcPr>
          <w:p>
            <w:pPr>
              <w:jc w:val="right"/>
            </w:pPr>
            <w:r>
              <w:t>5.55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176,124.15</w:t>
            </w:r>
          </w:p>
        </w:tc>
        <w:tc>
          <w:tcPr>
            <w:tcW w:w="1749" w:type="dxa"/>
            <w:shd w:val="clear" w:color="auto" w:fill="auto"/>
            <w:vAlign w:val="center"/>
          </w:tcPr>
          <w:p>
            <w:pPr>
              <w:jc w:val="right"/>
            </w:pPr>
            <w:r>
              <w:t>0.05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343,890,116.22</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68,021,742.95</w:t>
            </w:r>
          </w:p>
        </w:tc>
        <w:tc>
          <w:tcPr>
            <w:tcW w:w="2431" w:type="dxa"/>
            <w:shd w:val="clear" w:color="auto" w:fill="auto"/>
            <w:vAlign w:val="center"/>
          </w:tcPr>
          <w:p>
            <w:pPr>
              <w:jc w:val="right"/>
            </w:pPr>
            <w:bookmarkStart w:id="3" w:name="OLE_LINK6"/>
            <w:bookmarkEnd w:id="3"/>
            <w:bookmarkStart w:id="4" w:name="OLE_LINK5"/>
            <w:bookmarkEnd w:id="4"/>
            <w:r>
              <w:rPr>
                <w:rFonts w:hint="eastAsia"/>
              </w:rPr>
              <w:t>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25深圳前海微众银行CD008</w:t>
            </w:r>
          </w:p>
        </w:tc>
        <w:tc>
          <w:tcPr>
            <w:tcW w:w="2693" w:type="dxa"/>
            <w:shd w:val="clear" w:color="auto" w:fill="auto"/>
            <w:vAlign w:val="center"/>
          </w:tcPr>
          <w:p>
            <w:pPr>
              <w:ind w:hanging="1"/>
              <w:jc w:val="right"/>
            </w:pPr>
            <w:r>
              <w:rPr>
                <w:b w:val="0"/>
                <w:i w:val="0"/>
                <w:strike w:val="0"/>
                <w:u w:val="none"/>
              </w:rPr>
              <w:t>19,957,913.71</w:t>
            </w:r>
          </w:p>
        </w:tc>
        <w:tc>
          <w:tcPr>
            <w:tcW w:w="2431" w:type="dxa"/>
            <w:shd w:val="clear" w:color="auto" w:fill="auto"/>
            <w:vAlign w:val="center"/>
          </w:tcPr>
          <w:p>
            <w:pPr>
              <w:ind w:hanging="1"/>
              <w:jc w:val="right"/>
            </w:pPr>
            <w:r>
              <w:rPr>
                <w:b w:val="0"/>
                <w:i w:val="0"/>
                <w:strike w:val="0"/>
                <w:u w:val="none"/>
              </w:rPr>
              <w:t>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24东坡01</w:t>
            </w:r>
          </w:p>
        </w:tc>
        <w:tc>
          <w:tcPr>
            <w:tcW w:w="2693" w:type="dxa"/>
            <w:shd w:val="clear" w:color="auto" w:fill="auto"/>
            <w:vAlign w:val="center"/>
          </w:tcPr>
          <w:p>
            <w:pPr>
              <w:ind w:hanging="1"/>
              <w:jc w:val="right"/>
            </w:pPr>
            <w:r>
              <w:rPr>
                <w:b w:val="0"/>
                <w:i w:val="0"/>
                <w:strike w:val="0"/>
                <w:u w:val="none"/>
              </w:rPr>
              <w:t>15,182,136.99</w:t>
            </w:r>
          </w:p>
        </w:tc>
        <w:tc>
          <w:tcPr>
            <w:tcW w:w="2431" w:type="dxa"/>
            <w:shd w:val="clear" w:color="auto" w:fill="auto"/>
            <w:vAlign w:val="center"/>
          </w:tcPr>
          <w:p>
            <w:pPr>
              <w:ind w:hanging="1"/>
              <w:jc w:val="right"/>
            </w:pPr>
            <w:r>
              <w:rPr>
                <w:b w:val="0"/>
                <w:i w:val="0"/>
                <w:strike w:val="0"/>
                <w:u w:val="none"/>
              </w:rPr>
              <w:t>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25贵州银行CD011</w:t>
            </w:r>
          </w:p>
        </w:tc>
        <w:tc>
          <w:tcPr>
            <w:tcW w:w="2693" w:type="dxa"/>
            <w:shd w:val="clear" w:color="auto" w:fill="auto"/>
            <w:vAlign w:val="center"/>
          </w:tcPr>
          <w:p>
            <w:pPr>
              <w:ind w:hanging="1"/>
              <w:jc w:val="right"/>
            </w:pPr>
            <w:r>
              <w:rPr>
                <w:b w:val="0"/>
                <w:i w:val="0"/>
                <w:strike w:val="0"/>
                <w:u w:val="none"/>
              </w:rPr>
              <w:t>14,741,260.27</w:t>
            </w:r>
          </w:p>
        </w:tc>
        <w:tc>
          <w:tcPr>
            <w:tcW w:w="2431" w:type="dxa"/>
            <w:shd w:val="clear" w:color="auto" w:fill="auto"/>
            <w:vAlign w:val="center"/>
          </w:tcPr>
          <w:p>
            <w:pPr>
              <w:ind w:hanging="1"/>
              <w:jc w:val="right"/>
            </w:pPr>
            <w:r>
              <w:rPr>
                <w:b w:val="0"/>
                <w:i w:val="0"/>
                <w:strike w:val="0"/>
                <w:u w:val="none"/>
              </w:rP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空港03优</w:t>
            </w:r>
          </w:p>
        </w:tc>
        <w:tc>
          <w:tcPr>
            <w:tcW w:w="2693" w:type="dxa"/>
            <w:shd w:val="clear" w:color="auto" w:fill="auto"/>
            <w:vAlign w:val="center"/>
          </w:tcPr>
          <w:p>
            <w:pPr>
              <w:ind w:hanging="1"/>
              <w:jc w:val="right"/>
            </w:pPr>
            <w:r>
              <w:rPr>
                <w:b w:val="0"/>
                <w:i w:val="0"/>
                <w:strike w:val="0"/>
                <w:u w:val="none"/>
              </w:rPr>
              <w:t>14,550,976.74</w:t>
            </w:r>
          </w:p>
        </w:tc>
        <w:tc>
          <w:tcPr>
            <w:tcW w:w="2431" w:type="dxa"/>
            <w:shd w:val="clear" w:color="auto" w:fill="auto"/>
            <w:vAlign w:val="center"/>
          </w:tcPr>
          <w:p>
            <w:pPr>
              <w:ind w:hanging="1"/>
              <w:jc w:val="right"/>
            </w:pPr>
            <w:r>
              <w:rPr>
                <w:b w:val="0"/>
                <w:i w:val="0"/>
                <w:strike w:val="0"/>
                <w:u w:val="none"/>
              </w:rPr>
              <w:t>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24湔江01</w:t>
            </w:r>
          </w:p>
        </w:tc>
        <w:tc>
          <w:tcPr>
            <w:tcW w:w="2693" w:type="dxa"/>
            <w:shd w:val="clear" w:color="auto" w:fill="auto"/>
            <w:vAlign w:val="center"/>
          </w:tcPr>
          <w:p>
            <w:pPr>
              <w:ind w:hanging="1"/>
              <w:jc w:val="right"/>
            </w:pPr>
            <w:r>
              <w:rPr>
                <w:b w:val="0"/>
                <w:i w:val="0"/>
                <w:strike w:val="0"/>
                <w:u w:val="none"/>
              </w:rPr>
              <w:t>12,325,167.12</w:t>
            </w:r>
          </w:p>
        </w:tc>
        <w:tc>
          <w:tcPr>
            <w:tcW w:w="2431" w:type="dxa"/>
            <w:shd w:val="clear" w:color="auto" w:fill="auto"/>
            <w:vAlign w:val="center"/>
          </w:tcPr>
          <w:p>
            <w:pPr>
              <w:ind w:hanging="1"/>
              <w:jc w:val="right"/>
            </w:pPr>
            <w:r>
              <w:rPr>
                <w:b w:val="0"/>
                <w:i w:val="0"/>
                <w:strike w:val="0"/>
                <w:u w:val="none"/>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24江苏银行CD189</w:t>
            </w:r>
          </w:p>
        </w:tc>
        <w:tc>
          <w:tcPr>
            <w:tcW w:w="2693" w:type="dxa"/>
            <w:shd w:val="clear" w:color="auto" w:fill="auto"/>
            <w:vAlign w:val="center"/>
          </w:tcPr>
          <w:p>
            <w:pPr>
              <w:ind w:hanging="1"/>
              <w:jc w:val="right"/>
            </w:pPr>
            <w:r>
              <w:rPr>
                <w:b w:val="0"/>
                <w:i w:val="0"/>
                <w:strike w:val="0"/>
                <w:u w:val="none"/>
              </w:rPr>
              <w:t>11,906,113.32</w:t>
            </w:r>
          </w:p>
        </w:tc>
        <w:tc>
          <w:tcPr>
            <w:tcW w:w="2431" w:type="dxa"/>
            <w:shd w:val="clear" w:color="auto" w:fill="auto"/>
            <w:vAlign w:val="center"/>
          </w:tcPr>
          <w:p>
            <w:pPr>
              <w:ind w:hanging="1"/>
              <w:jc w:val="right"/>
            </w:pPr>
            <w:r>
              <w:rPr>
                <w:b w:val="0"/>
                <w:i w:val="0"/>
                <w:strike w:val="0"/>
                <w:u w:val="none"/>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21绵投02</w:t>
            </w:r>
          </w:p>
        </w:tc>
        <w:tc>
          <w:tcPr>
            <w:tcW w:w="2693" w:type="dxa"/>
            <w:shd w:val="clear" w:color="auto" w:fill="auto"/>
            <w:vAlign w:val="center"/>
          </w:tcPr>
          <w:p>
            <w:pPr>
              <w:ind w:hanging="1"/>
              <w:jc w:val="right"/>
            </w:pPr>
            <w:r>
              <w:rPr>
                <w:b w:val="0"/>
                <w:i w:val="0"/>
                <w:strike w:val="0"/>
                <w:u w:val="none"/>
              </w:rPr>
              <w:t>11,230,668.49</w:t>
            </w:r>
          </w:p>
        </w:tc>
        <w:tc>
          <w:tcPr>
            <w:tcW w:w="2431" w:type="dxa"/>
            <w:shd w:val="clear" w:color="auto" w:fill="auto"/>
            <w:vAlign w:val="center"/>
          </w:tcPr>
          <w:p>
            <w:pPr>
              <w:ind w:hanging="1"/>
              <w:jc w:val="right"/>
            </w:pPr>
            <w:r>
              <w:rPr>
                <w:b w:val="0"/>
                <w:i w:val="0"/>
                <w:strike w:val="0"/>
                <w:u w:val="none"/>
              </w:rPr>
              <w:t>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24眉控02</w:t>
            </w:r>
          </w:p>
        </w:tc>
        <w:tc>
          <w:tcPr>
            <w:tcW w:w="2693" w:type="dxa"/>
            <w:shd w:val="clear" w:color="auto" w:fill="auto"/>
            <w:vAlign w:val="center"/>
          </w:tcPr>
          <w:p>
            <w:pPr>
              <w:ind w:hanging="1"/>
              <w:jc w:val="right"/>
            </w:pPr>
            <w:r>
              <w:rPr>
                <w:b w:val="0"/>
                <w:i w:val="0"/>
                <w:strike w:val="0"/>
                <w:u w:val="none"/>
              </w:rPr>
              <w:t>10,482,589.04</w:t>
            </w:r>
          </w:p>
        </w:tc>
        <w:tc>
          <w:tcPr>
            <w:tcW w:w="2431" w:type="dxa"/>
            <w:shd w:val="clear" w:color="auto" w:fill="auto"/>
            <w:vAlign w:val="center"/>
          </w:tcPr>
          <w:p>
            <w:pPr>
              <w:ind w:hanging="1"/>
              <w:jc w:val="right"/>
            </w:pPr>
            <w:r>
              <w:rPr>
                <w:b w:val="0"/>
                <w:i w:val="0"/>
                <w:strike w:val="0"/>
                <w:u w:val="none"/>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20崇兴01</w:t>
            </w:r>
          </w:p>
        </w:tc>
        <w:tc>
          <w:tcPr>
            <w:tcW w:w="2693" w:type="dxa"/>
            <w:shd w:val="clear" w:color="auto" w:fill="auto"/>
            <w:vAlign w:val="center"/>
          </w:tcPr>
          <w:p>
            <w:pPr>
              <w:ind w:hanging="1"/>
              <w:jc w:val="right"/>
            </w:pPr>
            <w:r>
              <w:rPr>
                <w:b w:val="0"/>
                <w:i w:val="0"/>
                <w:strike w:val="0"/>
                <w:u w:val="none"/>
              </w:rPr>
              <w:t>10,475,753.43</w:t>
            </w:r>
          </w:p>
        </w:tc>
        <w:tc>
          <w:tcPr>
            <w:tcW w:w="2431" w:type="dxa"/>
            <w:shd w:val="clear" w:color="auto" w:fill="auto"/>
            <w:vAlign w:val="center"/>
          </w:tcPr>
          <w:p>
            <w:pPr>
              <w:ind w:hanging="1"/>
              <w:jc w:val="right"/>
            </w:pPr>
            <w:r>
              <w:rPr>
                <w:b w:val="0"/>
                <w:i w:val="0"/>
                <w:strike w:val="0"/>
                <w:u w:val="none"/>
              </w:rPr>
              <w:t>3.08</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rPr>
        <w:t>本报告期末，本产品投资的</w:t>
      </w:r>
      <w:r>
        <w:rPr>
          <w:rFonts w:hint="eastAsia" w:ascii="宋体" w:hAnsi="宋体"/>
          <w:szCs w:val="21"/>
        </w:rPr>
        <w:t>22凉山发展MTN001</w:t>
      </w:r>
      <w:bookmarkStart w:id="5" w:name="_GoBack"/>
      <w:bookmarkEnd w:id="5"/>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53A64C5"/>
    <w:rsid w:val="1DD13355"/>
    <w:rsid w:val="1F246194"/>
    <w:rsid w:val="20CB0C04"/>
    <w:rsid w:val="21AF23DE"/>
    <w:rsid w:val="250932D9"/>
    <w:rsid w:val="30D863E3"/>
    <w:rsid w:val="35706056"/>
    <w:rsid w:val="35844C1F"/>
    <w:rsid w:val="378A66D0"/>
    <w:rsid w:val="46050EA9"/>
    <w:rsid w:val="49B73334"/>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2</TotalTime>
  <ScaleCrop>false</ScaleCrop>
  <LinksUpToDate>false</LinksUpToDate>
  <CharactersWithSpaces>2104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2025-04-16T10:40:45Z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