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四川银行定开系列3个月1号净值型理财产品</w:t>
      </w:r>
    </w:p>
    <w:p>
      <w:pPr>
        <w:jc w:val="center"/>
        <w:rPr>
          <w:rFonts w:ascii="宋体" w:hAnsi="宋体"/>
          <w:b/>
          <w:bCs/>
          <w:sz w:val="48"/>
          <w:szCs w:val="30"/>
        </w:rPr>
      </w:pPr>
      <w:r>
        <w:rPr>
          <w:rFonts w:ascii="宋体" w:hAnsi="宋体"/>
          <w:b/>
          <w:bCs/>
          <w:sz w:val="48"/>
          <w:szCs w:val="30"/>
        </w:rPr>
        <w:t>2025年第1季度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自2025-01-01起至2025-03-31</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产品名称</w:t>
            </w:r>
          </w:p>
        </w:tc>
        <w:tc>
          <w:tcPr>
            <w:tcW w:w="5027" w:type="dxa"/>
            <w:vAlign w:val="center"/>
          </w:tcPr>
          <w:p>
            <w:pPr>
              <w:jc w:val="left"/>
              <w:rPr>
                <w:rFonts w:hint="eastAsia" w:ascii="宋体" w:hAnsi="宋体"/>
              </w:rPr>
            </w:pPr>
            <w:r>
              <w:rPr>
                <w:rFonts w:hint="eastAsia" w:ascii="宋体" w:hAnsi="宋体"/>
              </w:rPr>
              <w:t>四川银行定开系列3个月1号净值型理财产品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产品登记编码</w:t>
            </w:r>
          </w:p>
        </w:tc>
        <w:tc>
          <w:tcPr>
            <w:tcW w:w="5027" w:type="dxa"/>
            <w:vAlign w:val="center"/>
          </w:tcPr>
          <w:p>
            <w:pPr>
              <w:jc w:val="left"/>
              <w:rPr>
                <w:rFonts w:hint="eastAsia" w:ascii="宋体" w:hAnsi="宋体"/>
              </w:rPr>
            </w:pPr>
            <w:r>
              <w:rPr>
                <w:rFonts w:hint="eastAsia" w:ascii="宋体" w:hAnsi="宋体"/>
              </w:rPr>
              <w:t>C1438122000016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产品管理人</w:t>
            </w:r>
          </w:p>
        </w:tc>
        <w:tc>
          <w:tcPr>
            <w:tcW w:w="5027" w:type="dxa"/>
            <w:vAlign w:val="center"/>
          </w:tcPr>
          <w:p>
            <w:pPr>
              <w:jc w:val="left"/>
              <w:rPr>
                <w:rFonts w:hint="eastAsia"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产品托管人</w:t>
            </w:r>
          </w:p>
        </w:tc>
        <w:tc>
          <w:tcPr>
            <w:tcW w:w="5027" w:type="dxa"/>
            <w:vAlign w:val="center"/>
          </w:tcPr>
          <w:p>
            <w:pPr>
              <w:jc w:val="left"/>
              <w:rPr>
                <w:rFonts w:hint="eastAsia" w:ascii="宋体" w:hAnsi="宋体"/>
              </w:rPr>
            </w:pPr>
            <w:r>
              <w:rPr>
                <w:rFonts w:hint="eastAsia"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产品运作方式</w:t>
            </w:r>
          </w:p>
        </w:tc>
        <w:tc>
          <w:tcPr>
            <w:tcW w:w="5027" w:type="dxa"/>
            <w:vAlign w:val="center"/>
          </w:tcPr>
          <w:p>
            <w:pPr>
              <w:jc w:val="left"/>
              <w:rPr>
                <w:rFonts w:hint="eastAsia" w:ascii="宋体" w:hAnsi="宋体"/>
              </w:rPr>
            </w:pPr>
            <w:r>
              <w:rPr>
                <w:rFonts w:hint="eastAsia"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产品成立日</w:t>
            </w:r>
          </w:p>
        </w:tc>
        <w:tc>
          <w:tcPr>
            <w:tcW w:w="5027" w:type="dxa"/>
            <w:vAlign w:val="center"/>
          </w:tcPr>
          <w:p>
            <w:pPr>
              <w:jc w:val="left"/>
              <w:rPr>
                <w:rFonts w:hint="eastAsia" w:ascii="宋体" w:hAnsi="宋体"/>
              </w:rPr>
            </w:pPr>
            <w:r>
              <w:rPr>
                <w:rFonts w:hint="eastAsia" w:ascii="宋体" w:hAnsi="宋体"/>
              </w:rPr>
              <w:t>2022-04-07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产品到期日</w:t>
            </w:r>
          </w:p>
        </w:tc>
        <w:tc>
          <w:tcPr>
            <w:tcW w:w="5027" w:type="dxa"/>
            <w:vAlign w:val="center"/>
          </w:tcPr>
          <w:p>
            <w:pPr>
              <w:jc w:val="left"/>
              <w:rPr>
                <w:rFonts w:hint="eastAsia"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jc w:val="left"/>
              <w:rPr>
                <w:rFonts w:hint="eastAsia" w:ascii="宋体" w:hAnsi="宋体"/>
                <w:szCs w:val="21"/>
              </w:rPr>
            </w:pPr>
            <w:r>
              <w:rPr>
                <w:rFonts w:hint="eastAsia" w:ascii="宋体" w:hAnsi="宋体"/>
                <w:szCs w:val="21"/>
              </w:rPr>
              <w:t>报告期末产品份额总额</w:t>
            </w:r>
          </w:p>
        </w:tc>
        <w:tc>
          <w:tcPr>
            <w:tcW w:w="5027" w:type="dxa"/>
            <w:vAlign w:val="center"/>
          </w:tcPr>
          <w:p>
            <w:pPr>
              <w:jc w:val="left"/>
              <w:rPr>
                <w:rFonts w:hint="eastAsia" w:ascii="宋体" w:hAnsi="宋体"/>
              </w:rPr>
            </w:pPr>
            <w:bookmarkStart w:id="0" w:name="OLE_LINK1"/>
            <w:r>
              <w:rPr>
                <w:rFonts w:hint="eastAsia" w:ascii="宋体" w:hAnsi="宋体"/>
              </w:rPr>
              <w:t>341,059,700.00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业绩比较基准（如有）</w:t>
            </w:r>
          </w:p>
        </w:tc>
        <w:tc>
          <w:tcPr>
            <w:tcW w:w="5027" w:type="dxa"/>
            <w:vAlign w:val="center"/>
          </w:tcPr>
          <w:p>
            <w:pPr>
              <w:jc w:val="left"/>
              <w:rPr>
                <w:rFonts w:hint="eastAsia" w:ascii="宋体" w:hAnsi="宋体"/>
              </w:rPr>
            </w:pPr>
            <w:r>
              <w:rPr>
                <w:rFonts w:hint="eastAsia" w:ascii="宋体" w:hAnsi="宋体"/>
              </w:rPr>
              <w:t>[2.35%-3.35%]/年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pPr>
              <w:jc w:val="left"/>
              <w:rPr>
                <w:rFonts w:hint="eastAsia" w:ascii="宋体" w:hAnsi="宋体"/>
              </w:rPr>
            </w:pPr>
            <w:r>
              <w:rPr>
                <w:rFonts w:hint="eastAsia" w:ascii="宋体" w:hAnsi="宋体"/>
                <w:lang w:val="en-US" w:eastAsia="zh-CN"/>
              </w:rPr>
              <w:t>101.10%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pPr>
              <w:jc w:val="left"/>
              <w:rPr>
                <w:rFonts w:hint="eastAsia" w:ascii="宋体" w:hAnsi="宋体"/>
                <w:lang w:val="en-US" w:eastAsia="zh-CN"/>
              </w:rPr>
            </w:pPr>
            <w:r>
              <w:rPr>
                <w:rFonts w:hint="eastAsia"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hint="eastAsia" w:ascii="宋体" w:hAnsi="宋体"/>
                <w:lang w:val="en-US" w:eastAsia="zh-CN"/>
              </w:rPr>
            </w:pPr>
            <w:r>
              <w:rPr>
                <w:rFonts w:hint="eastAsia" w:ascii="宋体" w:hAnsi="宋体"/>
              </w:rPr>
              <w:t>四川银行-四川银行定开系列3个月1号净值型理财产品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hint="eastAsia" w:ascii="宋体" w:hAnsi="宋体"/>
                <w:lang w:val="en-US" w:eastAsia="zh-CN"/>
              </w:rPr>
            </w:pPr>
            <w:r>
              <w:rPr>
                <w:rFonts w:hint="eastAsia" w:ascii="宋体" w:hAnsi="宋体"/>
              </w:rPr>
              <w:t>128912158810724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pPr>
              <w:jc w:val="left"/>
              <w:rPr>
                <w:rFonts w:hint="eastAsia"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b/>
              </w:rPr>
              <w:t>净值增长率</w:t>
            </w:r>
            <w:r>
              <w:rPr>
                <w:rFonts w:hint="eastAsia"/>
                <w: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2025-01-01</w:t>
            </w:r>
            <w:r>
              <w:rPr>
                <w:rFonts w:hint="eastAsia" w:ascii="宋体" w:hAnsi="宋体"/>
              </w:rPr>
              <w:t>至</w:t>
            </w:r>
            <w:r>
              <w:rPr>
                <w:rFonts w:ascii="宋体" w:hAnsi="宋体"/>
              </w:rPr>
              <w:t>2025-03-31</w:t>
            </w:r>
            <w:r>
              <w:rPr>
                <w:rFonts w:hint="eastAsia" w:ascii="宋体" w:hAnsi="宋体"/>
              </w:rPr>
              <w:t>）</w:t>
            </w:r>
          </w:p>
        </w:tc>
        <w:tc>
          <w:tcPr>
            <w:tcW w:w="5103" w:type="dxa"/>
            <w:vAlign w:val="center"/>
          </w:tcPr>
          <w:p>
            <w:pPr>
              <w:jc w:val="right"/>
            </w:pPr>
            <w:r>
              <w:t>0.55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t>9.43</w:t>
            </w:r>
            <w:bookmarkStart w:id="1" w:name="OLE_LINK7"/>
            <w:bookmarkEnd w:id="1"/>
            <w:bookmarkStart w:id="2" w:name="OLE_LINK4"/>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2025-01-01</w:t>
            </w:r>
            <w:r>
              <w:rPr>
                <w:rFonts w:hint="eastAsia"/>
                <w:b/>
              </w:rPr>
              <w:t xml:space="preserve">至 </w:t>
            </w:r>
            <w:r>
              <w:rPr>
                <w:b/>
              </w:rPr>
              <w:t>2025-03-31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2,747,602.80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ascii="宋体" w:hAnsi="宋体" w:eastAsia="宋体"/>
                <w:b w:val="0"/>
                <w:i w:val="0"/>
                <w:strike w:val="0"/>
                <w:u w:val="none"/>
              </w:rPr>
              <w:t>本期利润</w:t>
            </w:r>
          </w:p>
        </w:tc>
        <w:tc>
          <w:tcPr>
            <w:tcW w:w="5027" w:type="dxa"/>
            <w:shd w:val="clear" w:color="auto" w:fill="auto"/>
            <w:vAlign w:val="center"/>
          </w:tcPr>
          <w:p>
            <w:pPr>
              <w:ind w:hanging="1"/>
              <w:jc w:val="right"/>
            </w:pPr>
            <w:r>
              <w:rPr>
                <w:b w:val="0"/>
                <w:i w:val="0"/>
                <w:strike w:val="0"/>
                <w:u w:val="none"/>
              </w:rPr>
              <w:t>2,015,309.14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ascii="宋体" w:hAnsi="宋体" w:eastAsia="宋体"/>
                <w:b w:val="0"/>
                <w:i w:val="0"/>
                <w:strike w:val="0"/>
                <w:u w:val="none"/>
              </w:rPr>
              <w:t>期末产品资产净值</w:t>
            </w:r>
          </w:p>
        </w:tc>
        <w:tc>
          <w:tcPr>
            <w:tcW w:w="5027" w:type="dxa"/>
            <w:shd w:val="clear" w:color="auto" w:fill="auto"/>
            <w:vAlign w:val="center"/>
          </w:tcPr>
          <w:p>
            <w:pPr>
              <w:ind w:hanging="1"/>
              <w:jc w:val="right"/>
            </w:pPr>
            <w:r>
              <w:rPr>
                <w:b w:val="0"/>
                <w:i w:val="0"/>
                <w:strike w:val="0"/>
                <w:u w:val="none"/>
              </w:rPr>
              <w:t>343,047,620.95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ascii="宋体" w:hAnsi="宋体" w:eastAsia="宋体"/>
                <w:b w:val="0"/>
                <w:i w:val="0"/>
                <w:strike w:val="0"/>
                <w:u w:val="none"/>
              </w:rPr>
              <w:t>期末产品份额净值</w:t>
            </w:r>
          </w:p>
        </w:tc>
        <w:tc>
          <w:tcPr>
            <w:tcW w:w="5027" w:type="dxa"/>
            <w:shd w:val="clear" w:color="auto" w:fill="auto"/>
            <w:vAlign w:val="center"/>
          </w:tcPr>
          <w:p>
            <w:pPr>
              <w:ind w:hanging="1"/>
              <w:jc w:val="right"/>
            </w:pPr>
            <w:r>
              <w:rPr>
                <w:b w:val="0"/>
                <w:i w:val="0"/>
                <w:strike w:val="0"/>
                <w:u w:val="none"/>
              </w:rPr>
              <w:t>1.0058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pPr>
              <w:jc w:val="right"/>
              <w:rPr>
                <w:rFonts w:hint="eastAsia"/>
                <w:lang w:val="en-US" w:eastAsia="zh-CN"/>
              </w:rPr>
            </w:pPr>
            <w:r>
              <w:rPr>
                <w:rFonts w:hint="eastAsia"/>
              </w:rPr>
              <w:t>1.0943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pPr>
              <w:jc w:val="right"/>
              <w:rPr>
                <w:rFonts w:hint="eastAsia"/>
                <w:lang w:val="en-US" w:eastAsia="zh-CN"/>
              </w:rPr>
            </w:pPr>
            <w:r>
              <w:rPr>
                <w:rFonts w:hint="eastAsia"/>
              </w:rPr>
              <w:t>343,047,620.95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1.0058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1.0943</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254,206,269.21</w:t>
            </w:r>
          </w:p>
        </w:tc>
        <w:tc>
          <w:tcPr>
            <w:tcW w:w="1749" w:type="dxa"/>
            <w:shd w:val="clear" w:color="auto" w:fill="auto"/>
            <w:vAlign w:val="center"/>
          </w:tcPr>
          <w:p>
            <w:pPr>
              <w:jc w:val="right"/>
            </w:pPr>
            <w:r>
              <w:t>73.29</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254,206,269.21</w:t>
            </w:r>
          </w:p>
        </w:tc>
        <w:tc>
          <w:tcPr>
            <w:tcW w:w="1749" w:type="dxa"/>
            <w:shd w:val="clear" w:color="auto" w:fill="auto"/>
            <w:vAlign w:val="center"/>
          </w:tcPr>
          <w:p>
            <w:pPr>
              <w:jc w:val="right"/>
            </w:pPr>
            <w:r>
              <w:t>73.29</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73,023,341.70</w:t>
            </w:r>
          </w:p>
        </w:tc>
        <w:tc>
          <w:tcPr>
            <w:tcW w:w="1749" w:type="dxa"/>
            <w:shd w:val="clear" w:color="auto" w:fill="auto"/>
            <w:vAlign w:val="center"/>
          </w:tcPr>
          <w:p>
            <w:pPr>
              <w:jc w:val="right"/>
            </w:pPr>
            <w:r>
              <w:t>21.05</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19,525,625.45</w:t>
            </w:r>
          </w:p>
        </w:tc>
        <w:tc>
          <w:tcPr>
            <w:tcW w:w="1749" w:type="dxa"/>
            <w:shd w:val="clear" w:color="auto" w:fill="auto"/>
            <w:vAlign w:val="center"/>
          </w:tcPr>
          <w:p>
            <w:pPr>
              <w:jc w:val="right"/>
            </w:pPr>
            <w:r>
              <w:t>5.63</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76,902.85</w:t>
            </w:r>
          </w:p>
        </w:tc>
        <w:tc>
          <w:tcPr>
            <w:tcW w:w="1749" w:type="dxa"/>
            <w:shd w:val="clear" w:color="auto" w:fill="auto"/>
            <w:vAlign w:val="center"/>
          </w:tcPr>
          <w:p>
            <w:pPr>
              <w:jc w:val="right"/>
            </w:pPr>
            <w:r>
              <w:t>0.02</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346,832,139.21</w:t>
            </w:r>
          </w:p>
        </w:tc>
        <w:tc>
          <w:tcPr>
            <w:tcW w:w="1749" w:type="dxa"/>
            <w:shd w:val="clear" w:color="auto" w:fill="auto"/>
          </w:tcPr>
          <w:p>
            <w:pPr>
              <w:jc w:val="right"/>
            </w:pPr>
            <w:r>
              <w:t>100.00</w:t>
            </w:r>
          </w:p>
        </w:tc>
        <w:tc>
          <w:tcPr>
            <w:tcW w:w="1653" w:type="dxa"/>
          </w:tcPr>
          <w:p>
            <w:pPr>
              <w:jc w:val="right"/>
            </w:pPr>
            <w:r>
              <w:t>0.00</w:t>
            </w:r>
          </w:p>
        </w:tc>
        <w:tc>
          <w:tcPr>
            <w:tcW w:w="1705" w:type="dxa"/>
          </w:tcPr>
          <w:p>
            <w:pPr>
              <w:jc w:val="right"/>
            </w:pPr>
            <w:r>
              <w:t>0.00</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pPr>
              <w:jc w:val="right"/>
            </w:pPr>
            <w:r>
              <w:t>73,023,341.70</w:t>
            </w:r>
          </w:p>
        </w:tc>
        <w:tc>
          <w:tcPr>
            <w:tcW w:w="2431" w:type="dxa"/>
            <w:shd w:val="clear" w:color="auto" w:fill="auto"/>
            <w:vAlign w:val="center"/>
          </w:tcPr>
          <w:p>
            <w:pPr>
              <w:jc w:val="right"/>
            </w:pPr>
            <w:bookmarkStart w:id="3" w:name="OLE_LINK6"/>
            <w:bookmarkEnd w:id="3"/>
            <w:bookmarkStart w:id="4" w:name="OLE_LINK5"/>
            <w:bookmarkEnd w:id="4"/>
            <w:r>
              <w:rPr>
                <w:rFonts w:hint="eastAsia"/>
              </w:rPr>
              <w:t>21.29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2</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24成都农商银行CD029</w:t>
            </w:r>
          </w:p>
        </w:tc>
        <w:tc>
          <w:tcPr>
            <w:tcW w:w="2693" w:type="dxa"/>
            <w:shd w:val="clear" w:color="auto" w:fill="auto"/>
            <w:vAlign w:val="center"/>
          </w:tcPr>
          <w:p>
            <w:pPr>
              <w:ind w:hanging="1"/>
              <w:jc w:val="right"/>
            </w:pPr>
            <w:r>
              <w:rPr>
                <w:b w:val="0"/>
                <w:i w:val="0"/>
                <w:strike w:val="0"/>
                <w:u w:val="none"/>
              </w:rPr>
              <w:t>19,948,590.96</w:t>
            </w:r>
          </w:p>
        </w:tc>
        <w:tc>
          <w:tcPr>
            <w:tcW w:w="2431" w:type="dxa"/>
            <w:shd w:val="clear" w:color="auto" w:fill="auto"/>
            <w:vAlign w:val="center"/>
          </w:tcPr>
          <w:p>
            <w:pPr>
              <w:ind w:hanging="1"/>
              <w:jc w:val="right"/>
            </w:pPr>
            <w:r>
              <w:rPr>
                <w:b w:val="0"/>
                <w:i w:val="0"/>
                <w:strike w:val="0"/>
                <w:u w:val="none"/>
              </w:rPr>
              <w:t>5.82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3</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24绵阳投资MTN001A</w:t>
            </w:r>
          </w:p>
        </w:tc>
        <w:tc>
          <w:tcPr>
            <w:tcW w:w="2693" w:type="dxa"/>
            <w:shd w:val="clear" w:color="auto" w:fill="auto"/>
            <w:vAlign w:val="center"/>
          </w:tcPr>
          <w:p>
            <w:pPr>
              <w:ind w:hanging="1"/>
              <w:jc w:val="right"/>
            </w:pPr>
            <w:r>
              <w:rPr>
                <w:b w:val="0"/>
                <w:i w:val="0"/>
                <w:strike w:val="0"/>
                <w:u w:val="none"/>
              </w:rPr>
              <w:t>19,777,922.47</w:t>
            </w:r>
          </w:p>
        </w:tc>
        <w:tc>
          <w:tcPr>
            <w:tcW w:w="2431" w:type="dxa"/>
            <w:shd w:val="clear" w:color="auto" w:fill="auto"/>
            <w:vAlign w:val="center"/>
          </w:tcPr>
          <w:p>
            <w:pPr>
              <w:ind w:hanging="1"/>
              <w:jc w:val="right"/>
            </w:pPr>
            <w:r>
              <w:rPr>
                <w:b w:val="0"/>
                <w:i w:val="0"/>
                <w:strike w:val="0"/>
                <w:u w:val="none"/>
              </w:rPr>
              <w:t>5.77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4</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21绵投02</w:t>
            </w:r>
          </w:p>
        </w:tc>
        <w:tc>
          <w:tcPr>
            <w:tcW w:w="2693" w:type="dxa"/>
            <w:shd w:val="clear" w:color="auto" w:fill="auto"/>
            <w:vAlign w:val="center"/>
          </w:tcPr>
          <w:p>
            <w:pPr>
              <w:ind w:hanging="1"/>
              <w:jc w:val="right"/>
            </w:pPr>
            <w:r>
              <w:rPr>
                <w:b w:val="0"/>
                <w:i w:val="0"/>
                <w:strike w:val="0"/>
                <w:u w:val="none"/>
              </w:rPr>
              <w:t>18,377,457.53</w:t>
            </w:r>
          </w:p>
        </w:tc>
        <w:tc>
          <w:tcPr>
            <w:tcW w:w="2431" w:type="dxa"/>
            <w:shd w:val="clear" w:color="auto" w:fill="auto"/>
            <w:vAlign w:val="center"/>
          </w:tcPr>
          <w:p>
            <w:pPr>
              <w:ind w:hanging="1"/>
              <w:jc w:val="right"/>
            </w:pPr>
            <w:r>
              <w:rPr>
                <w:b w:val="0"/>
                <w:i w:val="0"/>
                <w:strike w:val="0"/>
                <w:u w:val="none"/>
              </w:rPr>
              <w:t>5.36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5</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24乌鲁木齐银行CD147</w:t>
            </w:r>
          </w:p>
        </w:tc>
        <w:tc>
          <w:tcPr>
            <w:tcW w:w="2693" w:type="dxa"/>
            <w:shd w:val="clear" w:color="auto" w:fill="auto"/>
            <w:vAlign w:val="center"/>
          </w:tcPr>
          <w:p>
            <w:pPr>
              <w:ind w:hanging="1"/>
              <w:jc w:val="right"/>
            </w:pPr>
            <w:r>
              <w:rPr>
                <w:b w:val="0"/>
                <w:i w:val="0"/>
                <w:strike w:val="0"/>
                <w:u w:val="none"/>
              </w:rPr>
              <w:t>15,860,728.64</w:t>
            </w:r>
          </w:p>
        </w:tc>
        <w:tc>
          <w:tcPr>
            <w:tcW w:w="2431" w:type="dxa"/>
            <w:shd w:val="clear" w:color="auto" w:fill="auto"/>
            <w:vAlign w:val="center"/>
          </w:tcPr>
          <w:p>
            <w:pPr>
              <w:ind w:hanging="1"/>
              <w:jc w:val="right"/>
            </w:pPr>
            <w:r>
              <w:rPr>
                <w:b w:val="0"/>
                <w:i w:val="0"/>
                <w:strike w:val="0"/>
                <w:u w:val="none"/>
              </w:rPr>
              <w:t>4.62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6</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25深圳前海微众银行CD008</w:t>
            </w:r>
          </w:p>
        </w:tc>
        <w:tc>
          <w:tcPr>
            <w:tcW w:w="2693" w:type="dxa"/>
            <w:shd w:val="clear" w:color="auto" w:fill="auto"/>
            <w:vAlign w:val="center"/>
          </w:tcPr>
          <w:p>
            <w:pPr>
              <w:ind w:hanging="1"/>
              <w:jc w:val="right"/>
            </w:pPr>
            <w:r>
              <w:rPr>
                <w:b w:val="0"/>
                <w:i w:val="0"/>
                <w:strike w:val="0"/>
                <w:u w:val="none"/>
              </w:rPr>
              <w:t>14,968,435.28</w:t>
            </w:r>
          </w:p>
        </w:tc>
        <w:tc>
          <w:tcPr>
            <w:tcW w:w="2431" w:type="dxa"/>
            <w:shd w:val="clear" w:color="auto" w:fill="auto"/>
            <w:vAlign w:val="center"/>
          </w:tcPr>
          <w:p>
            <w:pPr>
              <w:ind w:hanging="1"/>
              <w:jc w:val="right"/>
            </w:pPr>
            <w:r>
              <w:rPr>
                <w:b w:val="0"/>
                <w:i w:val="0"/>
                <w:strike w:val="0"/>
                <w:u w:val="none"/>
              </w:rPr>
              <w:t>4.36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7</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23彭城01</w:t>
            </w:r>
          </w:p>
        </w:tc>
        <w:tc>
          <w:tcPr>
            <w:tcW w:w="2693" w:type="dxa"/>
            <w:shd w:val="clear" w:color="auto" w:fill="auto"/>
            <w:vAlign w:val="center"/>
          </w:tcPr>
          <w:p>
            <w:pPr>
              <w:ind w:hanging="1"/>
              <w:jc w:val="right"/>
            </w:pPr>
            <w:r>
              <w:rPr>
                <w:b w:val="0"/>
                <w:i w:val="0"/>
                <w:strike w:val="0"/>
                <w:u w:val="none"/>
              </w:rPr>
              <w:t>12,832,254.25</w:t>
            </w:r>
          </w:p>
        </w:tc>
        <w:tc>
          <w:tcPr>
            <w:tcW w:w="2431" w:type="dxa"/>
            <w:shd w:val="clear" w:color="auto" w:fill="auto"/>
            <w:vAlign w:val="center"/>
          </w:tcPr>
          <w:p>
            <w:pPr>
              <w:ind w:hanging="1"/>
              <w:jc w:val="right"/>
            </w:pPr>
            <w:r>
              <w:rPr>
                <w:b w:val="0"/>
                <w:i w:val="0"/>
                <w:strike w:val="0"/>
                <w:u w:val="none"/>
              </w:rPr>
              <w:t>3.74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8</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24绵阳投资MTN001B</w:t>
            </w:r>
          </w:p>
        </w:tc>
        <w:tc>
          <w:tcPr>
            <w:tcW w:w="2693" w:type="dxa"/>
            <w:shd w:val="clear" w:color="auto" w:fill="auto"/>
            <w:vAlign w:val="center"/>
          </w:tcPr>
          <w:p>
            <w:pPr>
              <w:ind w:hanging="1"/>
              <w:jc w:val="right"/>
            </w:pPr>
            <w:r>
              <w:rPr>
                <w:b w:val="0"/>
                <w:i w:val="0"/>
                <w:strike w:val="0"/>
                <w:u w:val="none"/>
              </w:rPr>
              <w:t>12,764,623.56</w:t>
            </w:r>
          </w:p>
        </w:tc>
        <w:tc>
          <w:tcPr>
            <w:tcW w:w="2431" w:type="dxa"/>
            <w:shd w:val="clear" w:color="auto" w:fill="auto"/>
            <w:vAlign w:val="center"/>
          </w:tcPr>
          <w:p>
            <w:pPr>
              <w:ind w:hanging="1"/>
              <w:jc w:val="right"/>
            </w:pPr>
            <w:r>
              <w:rPr>
                <w:b w:val="0"/>
                <w:i w:val="0"/>
                <w:strike w:val="0"/>
                <w:u w:val="none"/>
              </w:rPr>
              <w:t>3.72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9</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24江苏银行CD189</w:t>
            </w:r>
          </w:p>
        </w:tc>
        <w:tc>
          <w:tcPr>
            <w:tcW w:w="2693" w:type="dxa"/>
            <w:shd w:val="clear" w:color="auto" w:fill="auto"/>
            <w:vAlign w:val="center"/>
          </w:tcPr>
          <w:p>
            <w:pPr>
              <w:ind w:hanging="1"/>
              <w:jc w:val="right"/>
            </w:pPr>
            <w:r>
              <w:rPr>
                <w:b w:val="0"/>
                <w:i w:val="0"/>
                <w:strike w:val="0"/>
                <w:u w:val="none"/>
              </w:rPr>
              <w:t>11,906,113.32</w:t>
            </w:r>
          </w:p>
        </w:tc>
        <w:tc>
          <w:tcPr>
            <w:tcW w:w="2431" w:type="dxa"/>
            <w:shd w:val="clear" w:color="auto" w:fill="auto"/>
            <w:vAlign w:val="center"/>
          </w:tcPr>
          <w:p>
            <w:pPr>
              <w:ind w:hanging="1"/>
              <w:jc w:val="right"/>
            </w:pPr>
            <w:r>
              <w:rPr>
                <w:b w:val="0"/>
                <w:i w:val="0"/>
                <w:strike w:val="0"/>
                <w:u w:val="none"/>
              </w:rPr>
              <w:t>3.47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10</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24成经D2</w:t>
            </w:r>
          </w:p>
        </w:tc>
        <w:tc>
          <w:tcPr>
            <w:tcW w:w="2693" w:type="dxa"/>
            <w:shd w:val="clear" w:color="auto" w:fill="auto"/>
            <w:vAlign w:val="center"/>
          </w:tcPr>
          <w:p>
            <w:pPr>
              <w:ind w:hanging="1"/>
              <w:jc w:val="right"/>
            </w:pPr>
            <w:r>
              <w:rPr>
                <w:b w:val="0"/>
                <w:i w:val="0"/>
                <w:strike w:val="0"/>
                <w:u w:val="none"/>
              </w:rPr>
              <w:t>11,220,331.51</w:t>
            </w:r>
          </w:p>
        </w:tc>
        <w:tc>
          <w:tcPr>
            <w:tcW w:w="2431" w:type="dxa"/>
            <w:shd w:val="clear" w:color="auto" w:fill="auto"/>
            <w:vAlign w:val="center"/>
          </w:tcPr>
          <w:p>
            <w:pPr>
              <w:ind w:hanging="1"/>
              <w:jc w:val="right"/>
            </w:pPr>
            <w:r>
              <w:rPr>
                <w:b w:val="0"/>
                <w:i w:val="0"/>
                <w:strike w:val="0"/>
                <w:u w:val="none"/>
              </w:rPr>
              <w:t>3.27</w:t>
            </w:r>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0"/>
      </w:pPr>
      <w:r>
        <w:t>托管人报告</w:t>
      </w:r>
    </w:p>
    <w:p>
      <w:pPr>
        <w:spacing w:line="360" w:lineRule="auto"/>
        <w:ind w:right="-107" w:rightChars="-51"/>
        <w:jc w:val="left"/>
        <w:rPr>
          <w:rFonts w:hint="eastAsia" w:ascii="宋体" w:hAnsi="宋体"/>
          <w:szCs w:val="21"/>
        </w:rPr>
      </w:pPr>
      <w:r>
        <w:rPr>
          <w:rFonts w:hint="eastAsia" w:ascii="宋体" w:hAnsi="宋体"/>
          <w:szCs w:val="21"/>
        </w:rPr>
        <w:t>5.1、托管人履职情况</w:t>
      </w:r>
    </w:p>
    <w:p>
      <w:pPr>
        <w:spacing w:line="360" w:lineRule="auto"/>
        <w:ind w:right="-107" w:rightChars="-51"/>
        <w:jc w:val="left"/>
        <w:rPr>
          <w:rFonts w:hint="eastAsia" w:ascii="宋体" w:hAnsi="宋体"/>
          <w:szCs w:val="21"/>
        </w:rPr>
      </w:pPr>
      <w:r>
        <w:rPr>
          <w:rFonts w:hint="eastAsia" w:ascii="宋体" w:hAnsi="宋体"/>
          <w:szCs w:val="21"/>
        </w:rPr>
        <w:t>（一）托管资产保管</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jc w:val="left"/>
        <w:rPr>
          <w:rFonts w:hint="eastAsia" w:ascii="宋体" w:hAnsi="宋体"/>
          <w:szCs w:val="21"/>
        </w:rPr>
      </w:pPr>
      <w:r>
        <w:rPr>
          <w:rFonts w:hint="eastAsia" w:ascii="宋体" w:hAnsi="宋体"/>
          <w:szCs w:val="21"/>
        </w:rPr>
        <w:t>（二）会计核算和估值</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pPr>
        <w:spacing w:line="360" w:lineRule="auto"/>
        <w:ind w:right="-107" w:rightChars="-51"/>
        <w:jc w:val="left"/>
        <w:rPr>
          <w:rFonts w:hint="eastAsia" w:ascii="宋体" w:hAnsi="宋体"/>
          <w:szCs w:val="21"/>
        </w:rPr>
      </w:pPr>
      <w:r>
        <w:rPr>
          <w:rFonts w:hint="eastAsia" w:ascii="宋体" w:hAnsi="宋体"/>
          <w:szCs w:val="21"/>
        </w:rPr>
        <w:t>（三）定期核对有关数据</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pPr>
        <w:spacing w:line="360" w:lineRule="auto"/>
        <w:ind w:right="-107" w:rightChars="-51"/>
        <w:jc w:val="left"/>
        <w:rPr>
          <w:rFonts w:hint="eastAsia" w:ascii="宋体" w:hAnsi="宋体"/>
          <w:szCs w:val="21"/>
        </w:rPr>
      </w:pPr>
      <w:r>
        <w:rPr>
          <w:rFonts w:hint="eastAsia" w:ascii="宋体" w:hAnsi="宋体"/>
          <w:szCs w:val="21"/>
        </w:rPr>
        <w:t>（四）投资监督</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pPr>
        <w:spacing w:line="360" w:lineRule="auto"/>
        <w:ind w:right="-107" w:rightChars="-51"/>
        <w:jc w:val="left"/>
        <w:rPr>
          <w:rFonts w:hint="eastAsia" w:ascii="宋体" w:hAnsi="宋体"/>
          <w:szCs w:val="21"/>
        </w:rPr>
      </w:pPr>
      <w:r>
        <w:rPr>
          <w:rFonts w:hint="eastAsia" w:ascii="宋体" w:hAnsi="宋体"/>
          <w:szCs w:val="21"/>
        </w:rPr>
        <w:t>5.2、托管人声明</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w:t>
      </w:r>
      <w:bookmarkStart w:id="5" w:name="_GoBack"/>
      <w:bookmarkEnd w:id="5"/>
      <w:r>
        <w:rPr>
          <w:rFonts w:hint="eastAsia" w:ascii="宋体" w:hAnsi="宋体"/>
          <w:szCs w:val="21"/>
        </w:rPr>
        <w:t>法规、托管协议的规定，尽职尽责地履行托管义务并安全保管托管资产。</w:t>
      </w:r>
    </w:p>
    <w:p>
      <w:pPr>
        <w:pStyle w:val="40"/>
      </w:pPr>
      <w:r>
        <w:rPr>
          <w:rFonts w:hint="eastAsia"/>
          <w:lang w:val="en-US"/>
        </w:rPr>
        <w:t>关联交易情况说明</w:t>
      </w:r>
    </w:p>
    <w:p>
      <w:pPr>
        <w:spacing w:line="360" w:lineRule="auto"/>
        <w:ind w:right="-107" w:rightChars="-51" w:firstLine="420" w:firstLineChars="200"/>
        <w:jc w:val="left"/>
        <w:rPr>
          <w:rFonts w:hint="eastAsia" w:ascii="宋体" w:hAnsi="宋体"/>
          <w:szCs w:val="21"/>
        </w:rPr>
      </w:pPr>
      <w:r>
        <w:rPr>
          <w:rFonts w:hint="eastAsia" w:asciiTheme="minorEastAsia" w:hAnsiTheme="minorEastAsia" w:eastAsiaTheme="minorEastAsia"/>
          <w:szCs w:val="21"/>
        </w:rPr>
        <w:t>本报告期末，本产品投资的</w:t>
      </w:r>
      <w:r>
        <w:rPr>
          <w:rFonts w:ascii="宋体" w:hAnsi="宋体"/>
          <w:szCs w:val="21"/>
        </w:rPr>
        <w:t>21</w:t>
      </w:r>
      <w:r>
        <w:rPr>
          <w:rFonts w:hint="eastAsia" w:ascii="宋体" w:hAnsi="宋体"/>
          <w:szCs w:val="21"/>
        </w:rPr>
        <w:t>攀国投</w:t>
      </w:r>
      <w:r>
        <w:rPr>
          <w:rFonts w:hint="eastAsia" w:asciiTheme="minorEastAsia" w:hAnsiTheme="minorEastAsia" w:eastAsiaTheme="minorEastAsia"/>
          <w:szCs w:val="21"/>
        </w:rPr>
        <w:t>属于关联交易。</w:t>
      </w: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2025-04-15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roman"/>
    <w:pitch w:val="default"/>
    <w:sig w:usb0="00000000" w:usb1="00000000"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2C761F30"/>
    <w:rsid w:val="2DCA3210"/>
    <w:rsid w:val="30D863E3"/>
    <w:rsid w:val="35706056"/>
    <w:rsid w:val="35844C1F"/>
    <w:rsid w:val="378A66D0"/>
    <w:rsid w:val="46050EA9"/>
    <w:rsid w:val="49D862C5"/>
    <w:rsid w:val="4B474E5A"/>
    <w:rsid w:val="51E06E0A"/>
    <w:rsid w:val="5316710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0</TotalTime>
  <ScaleCrop>false</ScaleCrop>
  <LinksUpToDate>false</LinksUpToDate>
  <CharactersWithSpaces>2104</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Administrator</cp:lastModifiedBy>
  <cp:lastPrinted>2411-12-31T00:00:00Z</cp:lastPrinted>
  <dcterms:modified xsi:type="dcterms:W3CDTF">2025-04-16T10:37:49Z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