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四川银行定开系列3个月13号净值型理财产品</w:t>
      </w:r>
    </w:p>
    <w:p>
      <w:pPr>
        <w:jc w:val="center"/>
        <w:rPr>
          <w:rFonts w:ascii="宋体" w:hAnsi="宋体"/>
          <w:b/>
          <w:bCs/>
          <w:sz w:val="48"/>
          <w:szCs w:val="30"/>
        </w:rPr>
      </w:pPr>
      <w:r>
        <w:rPr>
          <w:rFonts w:ascii="宋体" w:hAnsi="宋体"/>
          <w:b/>
          <w:bCs/>
          <w:sz w:val="48"/>
          <w:szCs w:val="30"/>
        </w:rPr>
        <w:t>2025年第1季度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自2025-01-01起至2025-03-31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514,259,400.00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2025-03-31</w:t>
            </w:r>
            <w:r>
              <w:rPr>
                <w:rFonts w:hint="eastAsia" w:ascii="宋体" w:hAnsi="宋体"/>
              </w:rPr>
              <w:t>）</w:t>
            </w:r>
          </w:p>
        </w:tc>
        <w:tc>
          <w:tcPr>
            <w:tcW w:w="5103" w:type="dxa"/>
            <w:vAlign w:val="center"/>
          </w:tcPr>
          <w:p>
            <w:pPr>
              <w:jc w:val="right"/>
            </w:pPr>
            <w: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8.81</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3,868,572.40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本期利润</w:t>
            </w:r>
          </w:p>
        </w:tc>
        <w:tc>
          <w:tcPr>
            <w:tcW w:w="5027" w:type="dxa"/>
            <w:shd w:val="clear" w:color="auto" w:fill="auto"/>
            <w:vAlign w:val="center"/>
          </w:tcPr>
          <w:p>
            <w:pPr>
              <w:ind w:hanging="1"/>
              <w:jc w:val="right"/>
            </w:pPr>
            <w:r>
              <w:rPr>
                <w:b w:val="0"/>
                <w:i w:val="0"/>
                <w:strike w:val="0"/>
                <w:u w:val="none"/>
              </w:rPr>
              <w:t>2,564,507.17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514,414,382.28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ascii="宋体" w:hAnsi="宋体" w:eastAsia="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1.0881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514,414,382.28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1.0881</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423,376,786.10</w:t>
            </w:r>
          </w:p>
        </w:tc>
        <w:tc>
          <w:tcPr>
            <w:tcW w:w="1749" w:type="dxa"/>
            <w:shd w:val="clear" w:color="auto" w:fill="auto"/>
            <w:vAlign w:val="center"/>
          </w:tcPr>
          <w:p>
            <w:pPr>
              <w:jc w:val="right"/>
            </w:pPr>
            <w:r>
              <w:t>82.02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423,376,786.10</w:t>
            </w:r>
          </w:p>
        </w:tc>
        <w:tc>
          <w:tcPr>
            <w:tcW w:w="1749" w:type="dxa"/>
            <w:shd w:val="clear" w:color="auto" w:fill="auto"/>
            <w:vAlign w:val="center"/>
          </w:tcPr>
          <w:p>
            <w:pPr>
              <w:jc w:val="right"/>
            </w:pPr>
            <w:r>
              <w:t>82.02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92,022,426.45</w:t>
            </w:r>
          </w:p>
        </w:tc>
        <w:tc>
          <w:tcPr>
            <w:tcW w:w="1749" w:type="dxa"/>
            <w:shd w:val="clear" w:color="auto" w:fill="auto"/>
            <w:vAlign w:val="center"/>
          </w:tcPr>
          <w:p>
            <w:pPr>
              <w:jc w:val="right"/>
            </w:pPr>
            <w:r>
              <w:t>17.83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741,402.66</w:t>
            </w:r>
          </w:p>
        </w:tc>
        <w:tc>
          <w:tcPr>
            <w:tcW w:w="1749" w:type="dxa"/>
            <w:shd w:val="clear" w:color="auto" w:fill="auto"/>
            <w:vAlign w:val="center"/>
          </w:tcPr>
          <w:p>
            <w:pPr>
              <w:jc w:val="right"/>
            </w:pPr>
            <w:r>
              <w:t>0.14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40,289.39</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516,180,904.60</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70,022,382.45</w:t>
            </w:r>
          </w:p>
        </w:tc>
        <w:tc>
          <w:tcPr>
            <w:tcW w:w="2431" w:type="dxa"/>
            <w:shd w:val="clear" w:color="auto" w:fill="auto"/>
            <w:vAlign w:val="center"/>
          </w:tcPr>
          <w:p>
            <w:pPr>
              <w:jc w:val="right"/>
            </w:pPr>
            <w:bookmarkStart w:id="3" w:name="OLE_LINK6"/>
            <w:bookmarkEnd w:id="3"/>
            <w:bookmarkStart w:id="4" w:name="OLE_LINK5"/>
            <w:bookmarkEnd w:id="4"/>
            <w:r>
              <w:rPr>
                <w:rFonts w:hint="eastAsia"/>
              </w:rPr>
              <w:t>13.61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25广发银行CD075</w:t>
            </w:r>
          </w:p>
        </w:tc>
        <w:tc>
          <w:tcPr>
            <w:tcW w:w="2693" w:type="dxa"/>
            <w:shd w:val="clear" w:color="auto" w:fill="auto"/>
            <w:vAlign w:val="center"/>
          </w:tcPr>
          <w:p>
            <w:pPr>
              <w:ind w:hanging="1"/>
              <w:jc w:val="right"/>
            </w:pPr>
            <w:r>
              <w:rPr>
                <w:b w:val="0"/>
                <w:i w:val="0"/>
                <w:strike w:val="0"/>
                <w:u w:val="none"/>
              </w:rPr>
              <w:t>49,772,563.19</w:t>
            </w:r>
          </w:p>
        </w:tc>
        <w:tc>
          <w:tcPr>
            <w:tcW w:w="2431" w:type="dxa"/>
            <w:shd w:val="clear" w:color="auto" w:fill="auto"/>
            <w:vAlign w:val="center"/>
          </w:tcPr>
          <w:p>
            <w:pPr>
              <w:ind w:hanging="1"/>
              <w:jc w:val="right"/>
            </w:pPr>
            <w:r>
              <w:rPr>
                <w:b w:val="0"/>
                <w:i w:val="0"/>
                <w:strike w:val="0"/>
                <w:u w:val="none"/>
              </w:rPr>
              <w:t>9.68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GC002</w:t>
            </w:r>
          </w:p>
        </w:tc>
        <w:tc>
          <w:tcPr>
            <w:tcW w:w="2693" w:type="dxa"/>
            <w:shd w:val="clear" w:color="auto" w:fill="auto"/>
            <w:vAlign w:val="center"/>
          </w:tcPr>
          <w:p>
            <w:pPr>
              <w:ind w:hanging="1"/>
              <w:jc w:val="right"/>
            </w:pPr>
            <w:r>
              <w:rPr>
                <w:b w:val="0"/>
                <w:i w:val="0"/>
                <w:strike w:val="0"/>
                <w:u w:val="none"/>
              </w:rPr>
              <w:t>22,000,044.00</w:t>
            </w:r>
          </w:p>
        </w:tc>
        <w:tc>
          <w:tcPr>
            <w:tcW w:w="2431" w:type="dxa"/>
            <w:shd w:val="clear" w:color="auto" w:fill="auto"/>
            <w:vAlign w:val="center"/>
          </w:tcPr>
          <w:p>
            <w:pPr>
              <w:ind w:hanging="1"/>
              <w:jc w:val="right"/>
            </w:pPr>
            <w:r>
              <w:rPr>
                <w:b w:val="0"/>
                <w:i w:val="0"/>
                <w:strike w:val="0"/>
                <w:u w:val="none"/>
              </w:rPr>
              <w:t>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22温国01</w:t>
            </w:r>
          </w:p>
        </w:tc>
        <w:tc>
          <w:tcPr>
            <w:tcW w:w="2693" w:type="dxa"/>
            <w:shd w:val="clear" w:color="auto" w:fill="auto"/>
            <w:vAlign w:val="center"/>
          </w:tcPr>
          <w:p>
            <w:pPr>
              <w:ind w:hanging="1"/>
              <w:jc w:val="right"/>
            </w:pPr>
            <w:r>
              <w:rPr>
                <w:b w:val="0"/>
                <w:i w:val="0"/>
                <w:strike w:val="0"/>
                <w:u w:val="none"/>
              </w:rPr>
              <w:t>21,645,304.11</w:t>
            </w:r>
          </w:p>
        </w:tc>
        <w:tc>
          <w:tcPr>
            <w:tcW w:w="2431" w:type="dxa"/>
            <w:shd w:val="clear" w:color="auto" w:fill="auto"/>
            <w:vAlign w:val="center"/>
          </w:tcPr>
          <w:p>
            <w:pPr>
              <w:ind w:hanging="1"/>
              <w:jc w:val="right"/>
            </w:pPr>
            <w:r>
              <w:rPr>
                <w:b w:val="0"/>
                <w:i w:val="0"/>
                <w:strike w:val="0"/>
                <w:u w:val="none"/>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20,602,630.14</w:t>
            </w:r>
          </w:p>
        </w:tc>
        <w:tc>
          <w:tcPr>
            <w:tcW w:w="2431" w:type="dxa"/>
            <w:shd w:val="clear" w:color="auto" w:fill="auto"/>
            <w:vAlign w:val="center"/>
          </w:tcPr>
          <w:p>
            <w:pPr>
              <w:ind w:hanging="1"/>
              <w:jc w:val="right"/>
            </w:pPr>
            <w:r>
              <w:rPr>
                <w:b w:val="0"/>
                <w:i w:val="0"/>
                <w:strike w:val="0"/>
                <w:u w:val="none"/>
              </w:rPr>
              <w:t>4.01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24峨眉01</w:t>
            </w:r>
          </w:p>
        </w:tc>
        <w:tc>
          <w:tcPr>
            <w:tcW w:w="2693" w:type="dxa"/>
            <w:shd w:val="clear" w:color="auto" w:fill="auto"/>
            <w:vAlign w:val="center"/>
          </w:tcPr>
          <w:p>
            <w:pPr>
              <w:ind w:hanging="1"/>
              <w:jc w:val="right"/>
            </w:pPr>
            <w:r>
              <w:rPr>
                <w:b w:val="0"/>
                <w:i w:val="0"/>
                <w:strike w:val="0"/>
                <w:u w:val="none"/>
              </w:rPr>
              <w:t>20,578,054.79</w:t>
            </w:r>
          </w:p>
        </w:tc>
        <w:tc>
          <w:tcPr>
            <w:tcW w:w="2431" w:type="dxa"/>
            <w:shd w:val="clear" w:color="auto" w:fill="auto"/>
            <w:vAlign w:val="center"/>
          </w:tcPr>
          <w:p>
            <w:pPr>
              <w:ind w:hanging="1"/>
              <w:jc w:val="right"/>
            </w:pPr>
            <w:r>
              <w:rPr>
                <w:b w:val="0"/>
                <w:i w:val="0"/>
                <w:strike w:val="0"/>
                <w:u w:val="none"/>
              </w:rPr>
              <w:t>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25内桥01</w:t>
            </w:r>
          </w:p>
        </w:tc>
        <w:tc>
          <w:tcPr>
            <w:tcW w:w="2693" w:type="dxa"/>
            <w:shd w:val="clear" w:color="auto" w:fill="auto"/>
            <w:vAlign w:val="center"/>
          </w:tcPr>
          <w:p>
            <w:pPr>
              <w:ind w:hanging="1"/>
              <w:jc w:val="right"/>
            </w:pPr>
            <w:r>
              <w:rPr>
                <w:b w:val="0"/>
                <w:i w:val="0"/>
                <w:strike w:val="0"/>
                <w:u w:val="none"/>
              </w:rPr>
              <w:t>20,007,863.01</w:t>
            </w:r>
          </w:p>
        </w:tc>
        <w:tc>
          <w:tcPr>
            <w:tcW w:w="2431" w:type="dxa"/>
            <w:shd w:val="clear" w:color="auto" w:fill="auto"/>
            <w:vAlign w:val="center"/>
          </w:tcPr>
          <w:p>
            <w:pPr>
              <w:ind w:hanging="1"/>
              <w:jc w:val="right"/>
            </w:pPr>
            <w:r>
              <w:rPr>
                <w:b w:val="0"/>
                <w:i w:val="0"/>
                <w:strike w:val="0"/>
                <w:u w:val="none"/>
              </w:rPr>
              <w:t>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24青岛农商行CD091</w:t>
            </w:r>
          </w:p>
        </w:tc>
        <w:tc>
          <w:tcPr>
            <w:tcW w:w="2693" w:type="dxa"/>
            <w:shd w:val="clear" w:color="auto" w:fill="auto"/>
            <w:vAlign w:val="center"/>
          </w:tcPr>
          <w:p>
            <w:pPr>
              <w:ind w:hanging="1"/>
              <w:jc w:val="right"/>
            </w:pPr>
            <w:r>
              <w:rPr>
                <w:b w:val="0"/>
                <w:i w:val="0"/>
                <w:strike w:val="0"/>
                <w:u w:val="none"/>
              </w:rPr>
              <w:t>19,953,573.64</w:t>
            </w:r>
          </w:p>
        </w:tc>
        <w:tc>
          <w:tcPr>
            <w:tcW w:w="2431" w:type="dxa"/>
            <w:shd w:val="clear" w:color="auto" w:fill="auto"/>
            <w:vAlign w:val="center"/>
          </w:tcPr>
          <w:p>
            <w:pPr>
              <w:ind w:hanging="1"/>
              <w:jc w:val="right"/>
            </w:pPr>
            <w:r>
              <w:rPr>
                <w:b w:val="0"/>
                <w:i w:val="0"/>
                <w:strike w:val="0"/>
                <w:u w:val="none"/>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25江苏银行CD035</w:t>
            </w:r>
          </w:p>
        </w:tc>
        <w:tc>
          <w:tcPr>
            <w:tcW w:w="2693" w:type="dxa"/>
            <w:shd w:val="clear" w:color="auto" w:fill="auto"/>
            <w:vAlign w:val="center"/>
          </w:tcPr>
          <w:p>
            <w:pPr>
              <w:ind w:hanging="1"/>
              <w:jc w:val="right"/>
            </w:pPr>
            <w:r>
              <w:rPr>
                <w:b w:val="0"/>
                <w:i w:val="0"/>
                <w:strike w:val="0"/>
                <w:u w:val="none"/>
              </w:rPr>
              <w:t>19,942,139.10</w:t>
            </w:r>
          </w:p>
        </w:tc>
        <w:tc>
          <w:tcPr>
            <w:tcW w:w="2431" w:type="dxa"/>
            <w:shd w:val="clear" w:color="auto" w:fill="auto"/>
            <w:vAlign w:val="center"/>
          </w:tcPr>
          <w:p>
            <w:pPr>
              <w:ind w:hanging="1"/>
              <w:jc w:val="right"/>
            </w:pPr>
            <w:r>
              <w:rPr>
                <w:b w:val="0"/>
                <w:i w:val="0"/>
                <w:strike w:val="0"/>
                <w:u w:val="none"/>
              </w:rPr>
              <w:t>3.88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b w:val="0"/>
                <w:i w:val="0"/>
                <w:strike w:val="0"/>
                <w:u w:val="none"/>
              </w:rPr>
              <w:t>24重庆三峡银行CD047</w:t>
            </w:r>
          </w:p>
        </w:tc>
        <w:tc>
          <w:tcPr>
            <w:tcW w:w="2693" w:type="dxa"/>
            <w:shd w:val="clear" w:color="auto" w:fill="auto"/>
            <w:vAlign w:val="center"/>
          </w:tcPr>
          <w:p>
            <w:pPr>
              <w:ind w:hanging="1"/>
              <w:jc w:val="right"/>
            </w:pPr>
            <w:r>
              <w:rPr>
                <w:b w:val="0"/>
                <w:i w:val="0"/>
                <w:strike w:val="0"/>
                <w:u w:val="none"/>
              </w:rPr>
              <w:t>19,913,157.81</w:t>
            </w:r>
          </w:p>
        </w:tc>
        <w:tc>
          <w:tcPr>
            <w:tcW w:w="2431" w:type="dxa"/>
            <w:shd w:val="clear" w:color="auto" w:fill="auto"/>
            <w:vAlign w:val="center"/>
          </w:tcPr>
          <w:p>
            <w:pPr>
              <w:ind w:hanging="1"/>
              <w:jc w:val="right"/>
            </w:pPr>
            <w:r>
              <w:rPr>
                <w:b w:val="0"/>
                <w:i w:val="0"/>
                <w:strike w:val="0"/>
                <w:u w:val="none"/>
              </w:rPr>
              <w:t>3.87</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本报告期末，本产品投资的25内桥01属于关联交易。</w:t>
      </w:r>
    </w:p>
    <w:p>
      <w:pPr>
        <w:spacing w:line="360" w:lineRule="auto"/>
        <w:ind w:right="-107" w:rightChars="-51" w:firstLine="420" w:firstLineChars="200"/>
        <w:jc w:val="left"/>
        <w:rPr>
          <w:rFonts w:hint="eastAsia" w:ascii="宋体" w:hAnsi="宋体"/>
          <w:szCs w:val="21"/>
        </w:rPr>
      </w:pPr>
      <w:bookmarkStart w:id="5" w:name="_GoBack"/>
      <w:bookmarkEnd w:id="5"/>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3405BC1"/>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2025-04-03T13:39:56Z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