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四川银行定开系列3个月12号净值型理财产品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325,746,300.00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8.43</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2,039,695.58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1,831,825.24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325,981,908.28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325,981,908.28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1.0843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246,770,416.52</w:t>
            </w:r>
          </w:p>
        </w:tc>
        <w:tc>
          <w:tcPr>
            <w:tcW w:w="1749" w:type="dxa"/>
            <w:shd w:val="clear" w:color="auto" w:fill="auto"/>
            <w:vAlign w:val="center"/>
          </w:tcPr>
          <w:p>
            <w:pPr>
              <w:jc w:val="right"/>
            </w:pPr>
            <w:r>
              <w:t>74.88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246,770,416.52</w:t>
            </w:r>
          </w:p>
        </w:tc>
        <w:tc>
          <w:tcPr>
            <w:tcW w:w="1749" w:type="dxa"/>
            <w:shd w:val="clear" w:color="auto" w:fill="auto"/>
            <w:vAlign w:val="center"/>
          </w:tcPr>
          <w:p>
            <w:pPr>
              <w:jc w:val="right"/>
            </w:pPr>
            <w:r>
              <w:t>74.88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82,018,911.20</w:t>
            </w:r>
          </w:p>
        </w:tc>
        <w:tc>
          <w:tcPr>
            <w:tcW w:w="1749" w:type="dxa"/>
            <w:shd w:val="clear" w:color="auto" w:fill="auto"/>
            <w:vAlign w:val="center"/>
          </w:tcPr>
          <w:p>
            <w:pPr>
              <w:jc w:val="right"/>
            </w:pPr>
            <w:r>
              <w:t>24.89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748,547.25</w:t>
            </w:r>
          </w:p>
        </w:tc>
        <w:tc>
          <w:tcPr>
            <w:tcW w:w="1749" w:type="dxa"/>
            <w:shd w:val="clear" w:color="auto" w:fill="auto"/>
            <w:vAlign w:val="center"/>
          </w:tcPr>
          <w:p>
            <w:pPr>
              <w:jc w:val="right"/>
            </w:pPr>
            <w:r>
              <w:t>0.23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29,339.08</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329,567,214.05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59,018,865.20</w:t>
            </w:r>
          </w:p>
        </w:tc>
        <w:tc>
          <w:tcPr>
            <w:tcW w:w="2431" w:type="dxa"/>
            <w:shd w:val="clear" w:color="auto" w:fill="auto"/>
            <w:vAlign w:val="center"/>
          </w:tcPr>
          <w:p>
            <w:pPr>
              <w:jc w:val="right"/>
            </w:pPr>
            <w:bookmarkStart w:id="3" w:name="OLE_LINK6"/>
            <w:bookmarkEnd w:id="3"/>
            <w:bookmarkStart w:id="4" w:name="OLE_LINK5"/>
            <w:bookmarkEnd w:id="4"/>
            <w:r>
              <w:rPr>
                <w:rFonts w:hint="eastAsia"/>
              </w:rPr>
              <w:t>18.10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25秦农农商银行CD077</w:t>
            </w:r>
          </w:p>
        </w:tc>
        <w:tc>
          <w:tcPr>
            <w:tcW w:w="2693" w:type="dxa"/>
            <w:shd w:val="clear" w:color="auto" w:fill="auto"/>
            <w:vAlign w:val="center"/>
          </w:tcPr>
          <w:p>
            <w:pPr>
              <w:ind w:hanging="1"/>
              <w:jc w:val="right"/>
            </w:pPr>
            <w:r>
              <w:rPr>
                <w:b w:val="0"/>
                <w:i w:val="0"/>
                <w:strike w:val="0"/>
                <w:u w:val="none"/>
              </w:rPr>
              <w:t>29,962,912.26</w:t>
            </w:r>
          </w:p>
        </w:tc>
        <w:tc>
          <w:tcPr>
            <w:tcW w:w="2431" w:type="dxa"/>
            <w:shd w:val="clear" w:color="auto" w:fill="auto"/>
            <w:vAlign w:val="center"/>
          </w:tcPr>
          <w:p>
            <w:pPr>
              <w:ind w:hanging="1"/>
              <w:jc w:val="right"/>
            </w:pPr>
            <w:r>
              <w:rPr>
                <w:b w:val="0"/>
                <w:i w:val="0"/>
                <w:strike w:val="0"/>
                <w:u w:val="none"/>
              </w:rP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GC002</w:t>
            </w:r>
          </w:p>
        </w:tc>
        <w:tc>
          <w:tcPr>
            <w:tcW w:w="2693" w:type="dxa"/>
            <w:shd w:val="clear" w:color="auto" w:fill="auto"/>
            <w:vAlign w:val="center"/>
          </w:tcPr>
          <w:p>
            <w:pPr>
              <w:ind w:hanging="1"/>
              <w:jc w:val="right"/>
            </w:pPr>
            <w:r>
              <w:rPr>
                <w:b w:val="0"/>
                <w:i w:val="0"/>
                <w:strike w:val="0"/>
                <w:u w:val="none"/>
              </w:rPr>
              <w:t>23,000,046.00</w:t>
            </w:r>
          </w:p>
        </w:tc>
        <w:tc>
          <w:tcPr>
            <w:tcW w:w="2431" w:type="dxa"/>
            <w:shd w:val="clear" w:color="auto" w:fill="auto"/>
            <w:vAlign w:val="center"/>
          </w:tcPr>
          <w:p>
            <w:pPr>
              <w:ind w:hanging="1"/>
              <w:jc w:val="right"/>
            </w:pPr>
            <w:r>
              <w:rPr>
                <w:b w:val="0"/>
                <w:i w:val="0"/>
                <w:strike w:val="0"/>
                <w:u w:val="none"/>
              </w:rPr>
              <w:t>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24绵阳投资MTN001B</w:t>
            </w:r>
          </w:p>
        </w:tc>
        <w:tc>
          <w:tcPr>
            <w:tcW w:w="2693" w:type="dxa"/>
            <w:shd w:val="clear" w:color="auto" w:fill="auto"/>
            <w:vAlign w:val="center"/>
          </w:tcPr>
          <w:p>
            <w:pPr>
              <w:ind w:hanging="1"/>
              <w:jc w:val="right"/>
            </w:pPr>
            <w:r>
              <w:rPr>
                <w:b w:val="0"/>
                <w:i w:val="0"/>
                <w:strike w:val="0"/>
                <w:u w:val="none"/>
              </w:rPr>
              <w:t>21,274,372.60</w:t>
            </w:r>
          </w:p>
        </w:tc>
        <w:tc>
          <w:tcPr>
            <w:tcW w:w="2431" w:type="dxa"/>
            <w:shd w:val="clear" w:color="auto" w:fill="auto"/>
            <w:vAlign w:val="center"/>
          </w:tcPr>
          <w:p>
            <w:pPr>
              <w:ind w:hanging="1"/>
              <w:jc w:val="right"/>
            </w:pPr>
            <w:r>
              <w:rPr>
                <w:b w:val="0"/>
                <w:i w:val="0"/>
                <w:strike w:val="0"/>
                <w:u w:val="none"/>
              </w:rPr>
              <w:t>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20,602,630.14</w:t>
            </w:r>
          </w:p>
        </w:tc>
        <w:tc>
          <w:tcPr>
            <w:tcW w:w="2431" w:type="dxa"/>
            <w:shd w:val="clear" w:color="auto" w:fill="auto"/>
            <w:vAlign w:val="center"/>
          </w:tcPr>
          <w:p>
            <w:pPr>
              <w:ind w:hanging="1"/>
              <w:jc w:val="right"/>
            </w:pPr>
            <w:r>
              <w:rPr>
                <w:b w:val="0"/>
                <w:i w:val="0"/>
                <w:strike w:val="0"/>
                <w:u w:val="none"/>
              </w:rPr>
              <w:t>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24青岛农商行CD091</w:t>
            </w:r>
          </w:p>
        </w:tc>
        <w:tc>
          <w:tcPr>
            <w:tcW w:w="2693" w:type="dxa"/>
            <w:shd w:val="clear" w:color="auto" w:fill="auto"/>
            <w:vAlign w:val="center"/>
          </w:tcPr>
          <w:p>
            <w:pPr>
              <w:ind w:hanging="1"/>
              <w:jc w:val="right"/>
            </w:pPr>
            <w:r>
              <w:rPr>
                <w:b w:val="0"/>
                <w:i w:val="0"/>
                <w:strike w:val="0"/>
                <w:u w:val="none"/>
              </w:rPr>
              <w:t>19,953,573.64</w:t>
            </w:r>
          </w:p>
        </w:tc>
        <w:tc>
          <w:tcPr>
            <w:tcW w:w="2431" w:type="dxa"/>
            <w:shd w:val="clear" w:color="auto" w:fill="auto"/>
            <w:vAlign w:val="center"/>
          </w:tcPr>
          <w:p>
            <w:pPr>
              <w:ind w:hanging="1"/>
              <w:jc w:val="right"/>
            </w:pPr>
            <w:r>
              <w:rPr>
                <w:b w:val="0"/>
                <w:i w:val="0"/>
                <w:strike w:val="0"/>
                <w:u w:val="none"/>
              </w:rPr>
              <w:t>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25萧山农商银行CD005</w:t>
            </w:r>
          </w:p>
        </w:tc>
        <w:tc>
          <w:tcPr>
            <w:tcW w:w="2693" w:type="dxa"/>
            <w:shd w:val="clear" w:color="auto" w:fill="auto"/>
            <w:vAlign w:val="center"/>
          </w:tcPr>
          <w:p>
            <w:pPr>
              <w:ind w:hanging="1"/>
              <w:jc w:val="right"/>
            </w:pPr>
            <w:r>
              <w:rPr>
                <w:b w:val="0"/>
                <w:i w:val="0"/>
                <w:strike w:val="0"/>
                <w:u w:val="none"/>
              </w:rPr>
              <w:t>19,905,261.96</w:t>
            </w:r>
          </w:p>
        </w:tc>
        <w:tc>
          <w:tcPr>
            <w:tcW w:w="2431" w:type="dxa"/>
            <w:shd w:val="clear" w:color="auto" w:fill="auto"/>
            <w:vAlign w:val="center"/>
          </w:tcPr>
          <w:p>
            <w:pPr>
              <w:ind w:hanging="1"/>
              <w:jc w:val="right"/>
            </w:pPr>
            <w:r>
              <w:rPr>
                <w:b w:val="0"/>
                <w:i w:val="0"/>
                <w:strike w:val="0"/>
                <w:u w:val="none"/>
              </w:rPr>
              <w:t>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24香发01</w:t>
            </w:r>
          </w:p>
        </w:tc>
        <w:tc>
          <w:tcPr>
            <w:tcW w:w="2693" w:type="dxa"/>
            <w:shd w:val="clear" w:color="auto" w:fill="auto"/>
            <w:vAlign w:val="center"/>
          </w:tcPr>
          <w:p>
            <w:pPr>
              <w:ind w:hanging="1"/>
              <w:jc w:val="right"/>
            </w:pPr>
            <w:r>
              <w:rPr>
                <w:b w:val="0"/>
                <w:i w:val="0"/>
                <w:strike w:val="0"/>
                <w:u w:val="none"/>
              </w:rPr>
              <w:t>19,637,671.23</w:t>
            </w:r>
          </w:p>
        </w:tc>
        <w:tc>
          <w:tcPr>
            <w:tcW w:w="2431" w:type="dxa"/>
            <w:shd w:val="clear" w:color="auto" w:fill="auto"/>
            <w:vAlign w:val="center"/>
          </w:tcPr>
          <w:p>
            <w:pPr>
              <w:ind w:hanging="1"/>
              <w:jc w:val="right"/>
            </w:pPr>
            <w:r>
              <w:rPr>
                <w:b w:val="0"/>
                <w:i w:val="0"/>
                <w:strike w:val="0"/>
                <w:u w:val="none"/>
              </w:rPr>
              <w:t>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14,573,206.03</w:t>
            </w:r>
          </w:p>
        </w:tc>
        <w:tc>
          <w:tcPr>
            <w:tcW w:w="2431" w:type="dxa"/>
            <w:shd w:val="clear" w:color="auto" w:fill="auto"/>
            <w:vAlign w:val="center"/>
          </w:tcPr>
          <w:p>
            <w:pPr>
              <w:ind w:hanging="1"/>
              <w:jc w:val="right"/>
            </w:pPr>
            <w:r>
              <w:rPr>
                <w:b w:val="0"/>
                <w:i w:val="0"/>
                <w:strike w:val="0"/>
                <w:u w:val="none"/>
              </w:rPr>
              <w:t>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22温国01</w:t>
            </w:r>
          </w:p>
        </w:tc>
        <w:tc>
          <w:tcPr>
            <w:tcW w:w="2693" w:type="dxa"/>
            <w:shd w:val="clear" w:color="auto" w:fill="auto"/>
            <w:vAlign w:val="center"/>
          </w:tcPr>
          <w:p>
            <w:pPr>
              <w:ind w:hanging="1"/>
              <w:jc w:val="right"/>
            </w:pPr>
            <w:r>
              <w:rPr>
                <w:b w:val="0"/>
                <w:i w:val="0"/>
                <w:strike w:val="0"/>
                <w:u w:val="none"/>
              </w:rPr>
              <w:t>12,368,745.21</w:t>
            </w:r>
          </w:p>
        </w:tc>
        <w:tc>
          <w:tcPr>
            <w:tcW w:w="2431" w:type="dxa"/>
            <w:shd w:val="clear" w:color="auto" w:fill="auto"/>
            <w:vAlign w:val="center"/>
          </w:tcPr>
          <w:p>
            <w:pPr>
              <w:ind w:hanging="1"/>
              <w:jc w:val="right"/>
            </w:pPr>
            <w:r>
              <w:rPr>
                <w:b w:val="0"/>
                <w:i w:val="0"/>
                <w:strike w:val="0"/>
                <w:u w:val="none"/>
              </w:rPr>
              <w:t>3.79</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rPr>
        <w:t>本报告期末，本产品投资的</w:t>
      </w:r>
      <w:r>
        <w:rPr>
          <w:rFonts w:hint="eastAsia" w:ascii="宋体" w:hAnsi="宋体"/>
          <w:szCs w:val="21"/>
        </w:rPr>
        <w:t>22凉山发展MTN001</w:t>
      </w:r>
      <w:r>
        <w:rPr>
          <w:rFonts w:hint="eastAsia" w:ascii="宋体" w:hAnsi="宋体"/>
          <w:szCs w:val="21"/>
          <w:lang w:eastAsia="zh-CN"/>
        </w:rPr>
        <w:t>、21攀国投</w:t>
      </w:r>
      <w:bookmarkStart w:id="5" w:name="_GoBack"/>
      <w:bookmarkEnd w:id="5"/>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C2971FC"/>
    <w:rsid w:val="46050EA9"/>
    <w:rsid w:val="49D862C5"/>
    <w:rsid w:val="4B474E5A"/>
    <w:rsid w:val="4D4D0AD9"/>
    <w:rsid w:val="4F7C5F99"/>
    <w:rsid w:val="51E06E0A"/>
    <w:rsid w:val="53167101"/>
    <w:rsid w:val="5B5FA6DC"/>
    <w:rsid w:val="5FA25B1A"/>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2025-04-16T10:49:27Z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