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四川银行定开系列3个月10号净值型理财产品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734,540,000.00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四川银行-四川银行定开系列3个月10号净值型理财产品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9.00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2,929,934.36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2,546,126.89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735,691,114.74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default" w:eastAsia="宋体"/>
                <w:lang w:val="en-US" w:eastAsia="zh-CN"/>
              </w:rPr>
            </w:pPr>
            <w:r>
              <w:rPr>
                <w:rFonts w:hint="eastAsia"/>
              </w:rPr>
              <w:t>1.09</w:t>
            </w:r>
            <w:r>
              <w:rPr>
                <w:rFonts w:hint="eastAsia"/>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735,691,114.74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1.0900</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489,287,247.45</w:t>
            </w:r>
          </w:p>
        </w:tc>
        <w:tc>
          <w:tcPr>
            <w:tcW w:w="1749" w:type="dxa"/>
            <w:shd w:val="clear" w:color="auto" w:fill="auto"/>
            <w:vAlign w:val="center"/>
          </w:tcPr>
          <w:p>
            <w:pPr>
              <w:jc w:val="right"/>
            </w:pPr>
            <w:r>
              <w:t>66.24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489,287,247.45</w:t>
            </w:r>
          </w:p>
        </w:tc>
        <w:tc>
          <w:tcPr>
            <w:tcW w:w="1749" w:type="dxa"/>
            <w:shd w:val="clear" w:color="auto" w:fill="auto"/>
            <w:vAlign w:val="center"/>
          </w:tcPr>
          <w:p>
            <w:pPr>
              <w:jc w:val="right"/>
            </w:pPr>
            <w:r>
              <w:t>66.24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238,076,100.35</w:t>
            </w:r>
          </w:p>
        </w:tc>
        <w:tc>
          <w:tcPr>
            <w:tcW w:w="1749" w:type="dxa"/>
            <w:shd w:val="clear" w:color="auto" w:fill="auto"/>
            <w:vAlign w:val="center"/>
          </w:tcPr>
          <w:p>
            <w:pPr>
              <w:jc w:val="right"/>
            </w:pPr>
            <w:r>
              <w:t>32.23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11,315,511.86</w:t>
            </w:r>
          </w:p>
        </w:tc>
        <w:tc>
          <w:tcPr>
            <w:tcW w:w="1749" w:type="dxa"/>
            <w:shd w:val="clear" w:color="auto" w:fill="auto"/>
            <w:vAlign w:val="center"/>
          </w:tcPr>
          <w:p>
            <w:pPr>
              <w:jc w:val="right"/>
            </w:pPr>
            <w:r>
              <w:t>1.53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983.11</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738,679,842.77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238,076,100.35</w:t>
            </w:r>
          </w:p>
        </w:tc>
        <w:tc>
          <w:tcPr>
            <w:tcW w:w="2431" w:type="dxa"/>
            <w:shd w:val="clear" w:color="auto" w:fill="auto"/>
            <w:vAlign w:val="center"/>
          </w:tcPr>
          <w:p>
            <w:pPr>
              <w:jc w:val="right"/>
            </w:pPr>
            <w:bookmarkStart w:id="3" w:name="OLE_LINK6"/>
            <w:bookmarkEnd w:id="3"/>
            <w:bookmarkStart w:id="4" w:name="OLE_LINK5"/>
            <w:bookmarkEnd w:id="4"/>
            <w:r>
              <w:rPr>
                <w:rFonts w:hint="eastAsia"/>
              </w:rPr>
              <w:t>32.36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25萧山农商银行CD002</w:t>
            </w:r>
          </w:p>
        </w:tc>
        <w:tc>
          <w:tcPr>
            <w:tcW w:w="2693" w:type="dxa"/>
            <w:shd w:val="clear" w:color="auto" w:fill="auto"/>
            <w:vAlign w:val="center"/>
          </w:tcPr>
          <w:p>
            <w:pPr>
              <w:ind w:hanging="1"/>
              <w:jc w:val="right"/>
            </w:pPr>
            <w:r>
              <w:rPr>
                <w:b w:val="0"/>
                <w:i w:val="0"/>
                <w:strike w:val="0"/>
                <w:u w:val="none"/>
              </w:rPr>
              <w:t>49,981,774.19</w:t>
            </w:r>
          </w:p>
        </w:tc>
        <w:tc>
          <w:tcPr>
            <w:tcW w:w="2431" w:type="dxa"/>
            <w:shd w:val="clear" w:color="auto" w:fill="auto"/>
            <w:vAlign w:val="center"/>
          </w:tcPr>
          <w:p>
            <w:pPr>
              <w:ind w:hanging="1"/>
              <w:jc w:val="right"/>
            </w:pPr>
            <w:r>
              <w:rPr>
                <w:b w:val="0"/>
                <w:i w:val="0"/>
                <w:strike w:val="0"/>
                <w:u w:val="none"/>
              </w:rPr>
              <w:t>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25江苏银行CD038</w:t>
            </w:r>
          </w:p>
        </w:tc>
        <w:tc>
          <w:tcPr>
            <w:tcW w:w="2693" w:type="dxa"/>
            <w:shd w:val="clear" w:color="auto" w:fill="auto"/>
            <w:vAlign w:val="center"/>
          </w:tcPr>
          <w:p>
            <w:pPr>
              <w:ind w:hanging="1"/>
              <w:jc w:val="right"/>
            </w:pPr>
            <w:r>
              <w:rPr>
                <w:b w:val="0"/>
                <w:i w:val="0"/>
                <w:strike w:val="0"/>
                <w:u w:val="none"/>
              </w:rPr>
              <w:t>49,981,088.71</w:t>
            </w:r>
          </w:p>
        </w:tc>
        <w:tc>
          <w:tcPr>
            <w:tcW w:w="2431" w:type="dxa"/>
            <w:shd w:val="clear" w:color="auto" w:fill="auto"/>
            <w:vAlign w:val="center"/>
          </w:tcPr>
          <w:p>
            <w:pPr>
              <w:ind w:hanging="1"/>
              <w:jc w:val="right"/>
            </w:pPr>
            <w:r>
              <w:rPr>
                <w:b w:val="0"/>
                <w:i w:val="0"/>
                <w:strike w:val="0"/>
                <w:u w:val="none"/>
              </w:rPr>
              <w:t>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25渤海银行CD092</w:t>
            </w:r>
          </w:p>
        </w:tc>
        <w:tc>
          <w:tcPr>
            <w:tcW w:w="2693" w:type="dxa"/>
            <w:shd w:val="clear" w:color="auto" w:fill="auto"/>
            <w:vAlign w:val="center"/>
          </w:tcPr>
          <w:p>
            <w:pPr>
              <w:ind w:hanging="1"/>
              <w:jc w:val="right"/>
            </w:pPr>
            <w:r>
              <w:rPr>
                <w:b w:val="0"/>
                <w:i w:val="0"/>
                <w:strike w:val="0"/>
                <w:u w:val="none"/>
              </w:rPr>
              <w:t>49,978,161.29</w:t>
            </w:r>
          </w:p>
        </w:tc>
        <w:tc>
          <w:tcPr>
            <w:tcW w:w="2431" w:type="dxa"/>
            <w:shd w:val="clear" w:color="auto" w:fill="auto"/>
            <w:vAlign w:val="center"/>
          </w:tcPr>
          <w:p>
            <w:pPr>
              <w:ind w:hanging="1"/>
              <w:jc w:val="right"/>
            </w:pPr>
            <w:r>
              <w:rPr>
                <w:b w:val="0"/>
                <w:i w:val="0"/>
                <w:strike w:val="0"/>
                <w:u w:val="none"/>
              </w:rPr>
              <w:t>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25天津银行CD051</w:t>
            </w:r>
          </w:p>
        </w:tc>
        <w:tc>
          <w:tcPr>
            <w:tcW w:w="2693" w:type="dxa"/>
            <w:shd w:val="clear" w:color="auto" w:fill="auto"/>
            <w:vAlign w:val="center"/>
          </w:tcPr>
          <w:p>
            <w:pPr>
              <w:ind w:hanging="1"/>
              <w:jc w:val="right"/>
            </w:pPr>
            <w:r>
              <w:rPr>
                <w:b w:val="0"/>
                <w:i w:val="0"/>
                <w:strike w:val="0"/>
                <w:u w:val="none"/>
              </w:rPr>
              <w:t>29,890,770.65</w:t>
            </w:r>
          </w:p>
        </w:tc>
        <w:tc>
          <w:tcPr>
            <w:tcW w:w="2431" w:type="dxa"/>
            <w:shd w:val="clear" w:color="auto" w:fill="auto"/>
            <w:vAlign w:val="center"/>
          </w:tcPr>
          <w:p>
            <w:pPr>
              <w:ind w:hanging="1"/>
              <w:jc w:val="right"/>
            </w:pPr>
            <w:r>
              <w:rPr>
                <w:b w:val="0"/>
                <w:i w:val="0"/>
                <w:strike w:val="0"/>
                <w:u w:val="none"/>
              </w:rPr>
              <w:t>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20,602,630.14</w:t>
            </w:r>
          </w:p>
        </w:tc>
        <w:tc>
          <w:tcPr>
            <w:tcW w:w="2431" w:type="dxa"/>
            <w:shd w:val="clear" w:color="auto" w:fill="auto"/>
            <w:vAlign w:val="center"/>
          </w:tcPr>
          <w:p>
            <w:pPr>
              <w:ind w:hanging="1"/>
              <w:jc w:val="right"/>
            </w:pPr>
            <w:r>
              <w:rPr>
                <w:b w:val="0"/>
                <w:i w:val="0"/>
                <w:strike w:val="0"/>
                <w:u w:val="none"/>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25内桥01</w:t>
            </w:r>
          </w:p>
        </w:tc>
        <w:tc>
          <w:tcPr>
            <w:tcW w:w="2693" w:type="dxa"/>
            <w:shd w:val="clear" w:color="auto" w:fill="auto"/>
            <w:vAlign w:val="center"/>
          </w:tcPr>
          <w:p>
            <w:pPr>
              <w:ind w:hanging="1"/>
              <w:jc w:val="right"/>
            </w:pPr>
            <w:r>
              <w:rPr>
                <w:b w:val="0"/>
                <w:i w:val="0"/>
                <w:strike w:val="0"/>
                <w:u w:val="none"/>
              </w:rPr>
              <w:t>20,007,863.01</w:t>
            </w:r>
          </w:p>
        </w:tc>
        <w:tc>
          <w:tcPr>
            <w:tcW w:w="2431" w:type="dxa"/>
            <w:shd w:val="clear" w:color="auto" w:fill="auto"/>
            <w:vAlign w:val="center"/>
          </w:tcPr>
          <w:p>
            <w:pPr>
              <w:ind w:hanging="1"/>
              <w:jc w:val="right"/>
            </w:pPr>
            <w:r>
              <w:rPr>
                <w:b w:val="0"/>
                <w:i w:val="0"/>
                <w:strike w:val="0"/>
                <w:u w:val="none"/>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24成都农商银行CD029</w:t>
            </w:r>
          </w:p>
        </w:tc>
        <w:tc>
          <w:tcPr>
            <w:tcW w:w="2693" w:type="dxa"/>
            <w:shd w:val="clear" w:color="auto" w:fill="auto"/>
            <w:vAlign w:val="center"/>
          </w:tcPr>
          <w:p>
            <w:pPr>
              <w:ind w:hanging="1"/>
              <w:jc w:val="right"/>
            </w:pPr>
            <w:r>
              <w:rPr>
                <w:b w:val="0"/>
                <w:i w:val="0"/>
                <w:strike w:val="0"/>
                <w:u w:val="none"/>
              </w:rPr>
              <w:t>19,948,590.96</w:t>
            </w:r>
          </w:p>
        </w:tc>
        <w:tc>
          <w:tcPr>
            <w:tcW w:w="2431" w:type="dxa"/>
            <w:shd w:val="clear" w:color="auto" w:fill="auto"/>
            <w:vAlign w:val="center"/>
          </w:tcPr>
          <w:p>
            <w:pPr>
              <w:ind w:hanging="1"/>
              <w:jc w:val="right"/>
            </w:pPr>
            <w:r>
              <w:rPr>
                <w:b w:val="0"/>
                <w:i w:val="0"/>
                <w:strike w:val="0"/>
                <w:u w:val="none"/>
              </w:rPr>
              <w:t>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24乌鲁木齐银行CD147</w:t>
            </w:r>
          </w:p>
        </w:tc>
        <w:tc>
          <w:tcPr>
            <w:tcW w:w="2693" w:type="dxa"/>
            <w:shd w:val="clear" w:color="auto" w:fill="auto"/>
            <w:vAlign w:val="center"/>
          </w:tcPr>
          <w:p>
            <w:pPr>
              <w:ind w:hanging="1"/>
              <w:jc w:val="right"/>
            </w:pPr>
            <w:r>
              <w:rPr>
                <w:b w:val="0"/>
                <w:i w:val="0"/>
                <w:strike w:val="0"/>
                <w:u w:val="none"/>
              </w:rPr>
              <w:t>19,825,910.79</w:t>
            </w:r>
          </w:p>
        </w:tc>
        <w:tc>
          <w:tcPr>
            <w:tcW w:w="2431" w:type="dxa"/>
            <w:shd w:val="clear" w:color="auto" w:fill="auto"/>
            <w:vAlign w:val="center"/>
          </w:tcPr>
          <w:p>
            <w:pPr>
              <w:ind w:hanging="1"/>
              <w:jc w:val="right"/>
            </w:pPr>
            <w:r>
              <w:rPr>
                <w:b w:val="0"/>
                <w:i w:val="0"/>
                <w:strike w:val="0"/>
                <w:u w:val="none"/>
              </w:rPr>
              <w:t>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25广东顺德农商行CD006</w:t>
            </w:r>
          </w:p>
        </w:tc>
        <w:tc>
          <w:tcPr>
            <w:tcW w:w="2693" w:type="dxa"/>
            <w:shd w:val="clear" w:color="auto" w:fill="auto"/>
            <w:vAlign w:val="center"/>
          </w:tcPr>
          <w:p>
            <w:pPr>
              <w:ind w:hanging="1"/>
              <w:jc w:val="right"/>
            </w:pPr>
            <w:r>
              <w:rPr>
                <w:b w:val="0"/>
                <w:i w:val="0"/>
                <w:strike w:val="0"/>
                <w:u w:val="none"/>
              </w:rPr>
              <w:t>19,631,145.42</w:t>
            </w:r>
          </w:p>
        </w:tc>
        <w:tc>
          <w:tcPr>
            <w:tcW w:w="2431" w:type="dxa"/>
            <w:shd w:val="clear" w:color="auto" w:fill="auto"/>
            <w:vAlign w:val="center"/>
          </w:tcPr>
          <w:p>
            <w:pPr>
              <w:ind w:hanging="1"/>
              <w:jc w:val="right"/>
            </w:pPr>
            <w:r>
              <w:rPr>
                <w:b w:val="0"/>
                <w:i w:val="0"/>
                <w:strike w:val="0"/>
                <w:u w:val="none"/>
              </w:rPr>
              <w:t>2.67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本报告期末，本产品投资的25内桥01属于关联交易。</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7285BA9"/>
    <w:rsid w:val="30D863E3"/>
    <w:rsid w:val="35706056"/>
    <w:rsid w:val="35844C1F"/>
    <w:rsid w:val="378A66D0"/>
    <w:rsid w:val="46050EA9"/>
    <w:rsid w:val="49D862C5"/>
    <w:rsid w:val="4B474E5A"/>
    <w:rsid w:val="51E06E0A"/>
    <w:rsid w:val="53167101"/>
    <w:rsid w:val="59B47FAB"/>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2025-04-08T02:49:07Z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