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rPr>
          <w:sz w:val="48"/>
        </w:rPr>
      </w:pPr>
    </w:p>
    <w:p>
      <w:pPr>
        <w:rPr>
          <w:sz w:val="48"/>
        </w:rPr>
      </w:pPr>
    </w:p>
    <w:p>
      <w:pPr>
        <w:jc w:val="center"/>
        <w:rPr>
          <w:rFonts w:ascii="宋体" w:hAnsi="宋体"/>
          <w:b/>
          <w:bCs/>
          <w:sz w:val="48"/>
          <w:szCs w:val="30"/>
        </w:rPr>
      </w:pPr>
      <w:r>
        <w:rPr>
          <w:rFonts w:ascii="宋体" w:hAnsi="宋体"/>
          <w:b/>
          <w:bCs/>
          <w:sz w:val="48"/>
          <w:szCs w:val="30"/>
        </w:rPr>
        <w:t>四川银行定开系列1个月1号净值型理财产品</w:t>
      </w:r>
    </w:p>
    <w:p>
      <w:pPr>
        <w:jc w:val="center"/>
        <w:rPr>
          <w:rFonts w:ascii="宋体" w:hAnsi="宋体"/>
          <w:b/>
          <w:bCs/>
          <w:sz w:val="48"/>
          <w:szCs w:val="30"/>
        </w:rPr>
      </w:pPr>
      <w:r>
        <w:rPr>
          <w:rFonts w:ascii="宋体" w:hAnsi="宋体"/>
          <w:b/>
          <w:bCs/>
          <w:sz w:val="48"/>
          <w:szCs w:val="30"/>
        </w:rPr>
        <w:t>2025年第1季度</w:t>
      </w:r>
      <w:r>
        <w:rPr>
          <w:rFonts w:hint="eastAsia" w:ascii="宋体" w:hAnsi="宋体"/>
          <w:b/>
          <w:bCs/>
          <w:sz w:val="48"/>
          <w:szCs w:val="30"/>
        </w:rPr>
        <w:t>报告</w:t>
      </w:r>
    </w:p>
    <w:p>
      <w:pPr>
        <w:jc w:val="center"/>
        <w:rPr>
          <w:rFonts w:ascii="宋体" w:hAnsi="宋体"/>
          <w:b/>
          <w:bCs/>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ind w:firstLine="1687" w:firstLineChars="600"/>
        <w:jc w:val="left"/>
        <w:rPr>
          <w:rFonts w:ascii="宋体" w:hAnsi="宋体"/>
          <w:b/>
          <w:bCs/>
          <w:sz w:val="28"/>
          <w:szCs w:val="30"/>
        </w:rPr>
      </w:pPr>
      <w:r>
        <w:rPr>
          <w:rFonts w:ascii="宋体" w:hAnsi="宋体"/>
          <w:b/>
          <w:bCs/>
          <w:sz w:val="28"/>
          <w:szCs w:val="30"/>
        </w:rPr>
        <w:t>产品管理人：四川银行股份有限公司</w:t>
      </w:r>
    </w:p>
    <w:p>
      <w:pPr>
        <w:ind w:firstLine="1687" w:firstLineChars="600"/>
        <w:jc w:val="left"/>
        <w:rPr>
          <w:rFonts w:ascii="宋体" w:hAnsi="宋体"/>
          <w:sz w:val="28"/>
          <w:szCs w:val="30"/>
        </w:rPr>
      </w:pPr>
      <w:r>
        <w:rPr>
          <w:rFonts w:ascii="宋体" w:hAnsi="宋体"/>
          <w:b/>
          <w:bCs/>
          <w:sz w:val="28"/>
          <w:szCs w:val="30"/>
        </w:rPr>
        <w:t>产品托管人：招商银行股份有限公司成都分行</w:t>
      </w: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rPr>
          <w:rFonts w:ascii="宋体" w:hAnsi="宋体"/>
          <w:sz w:val="28"/>
          <w:szCs w:val="30"/>
        </w:rPr>
      </w:pPr>
    </w:p>
    <w:p>
      <w:pPr>
        <w:jc w:val="center"/>
        <w:rPr>
          <w:rFonts w:ascii="宋体" w:hAnsi="宋体"/>
          <w:b/>
          <w:bCs/>
          <w:sz w:val="28"/>
          <w:szCs w:val="30"/>
        </w:rPr>
      </w:pPr>
    </w:p>
    <w:p>
      <w:pPr>
        <w:jc w:val="center"/>
        <w:rPr>
          <w:rFonts w:ascii="宋体" w:hAnsi="宋体"/>
          <w:b/>
          <w:bCs/>
          <w:sz w:val="28"/>
          <w:szCs w:val="30"/>
        </w:rPr>
      </w:pPr>
      <w:r>
        <w:rPr>
          <w:rFonts w:hint="eastAsia" w:ascii="宋体" w:hAnsi="宋体"/>
          <w:b/>
          <w:bCs/>
          <w:sz w:val="28"/>
          <w:szCs w:val="30"/>
        </w:rPr>
        <w:t>重要提示</w:t>
      </w:r>
    </w:p>
    <w:p>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招商银行股份有限公司成都分行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自2025-01-01起至2025-03-31</w:t>
      </w:r>
      <w:r>
        <w:rPr>
          <w:rFonts w:ascii="宋体" w:hAnsi="宋体"/>
          <w:szCs w:val="21"/>
        </w:rPr>
        <w:t>止。</w:t>
      </w:r>
    </w:p>
    <w:p>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b/>
                <w:szCs w:val="21"/>
              </w:rPr>
            </w:pPr>
            <w:r>
              <w:rPr>
                <w:rFonts w:hint="eastAsia" w:ascii="宋体" w:hAnsi="宋体"/>
                <w:b/>
                <w:szCs w:val="21"/>
              </w:rPr>
              <w:t>项目</w:t>
            </w:r>
          </w:p>
        </w:tc>
        <w:tc>
          <w:tcPr>
            <w:tcW w:w="5027" w:type="dxa"/>
            <w:vAlign w:val="center"/>
          </w:tcPr>
          <w:p>
            <w:pPr>
              <w:jc w:val="left"/>
              <w:rPr>
                <w:rFonts w:ascii="宋体" w:hAnsi="宋体"/>
                <w:b/>
              </w:rPr>
            </w:pPr>
            <w:r>
              <w:rPr>
                <w:rFonts w:hint="eastAsia" w:ascii="宋体" w:hAnsi="宋体"/>
                <w:b/>
              </w:rPr>
              <w:t>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产品名称</w:t>
            </w:r>
          </w:p>
        </w:tc>
        <w:tc>
          <w:tcPr>
            <w:tcW w:w="5027" w:type="dxa"/>
            <w:vAlign w:val="center"/>
          </w:tcPr>
          <w:p>
            <w:pPr>
              <w:jc w:val="left"/>
              <w:rPr>
                <w:rFonts w:hint="eastAsia" w:ascii="宋体" w:hAnsi="宋体"/>
              </w:rPr>
            </w:pPr>
            <w:r>
              <w:rPr>
                <w:rFonts w:hint="eastAsia" w:ascii="宋体" w:hAnsi="宋体"/>
              </w:rPr>
              <w:t>四川银行定开系列1个月1号净值型理财产品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产品登记编码</w:t>
            </w:r>
          </w:p>
        </w:tc>
        <w:tc>
          <w:tcPr>
            <w:tcW w:w="5027" w:type="dxa"/>
            <w:vAlign w:val="center"/>
          </w:tcPr>
          <w:p>
            <w:pPr>
              <w:jc w:val="left"/>
              <w:rPr>
                <w:rFonts w:hint="eastAsia" w:ascii="宋体" w:hAnsi="宋体"/>
              </w:rPr>
            </w:pPr>
            <w:r>
              <w:rPr>
                <w:rFonts w:hint="eastAsia" w:ascii="宋体" w:hAnsi="宋体"/>
              </w:rPr>
              <w:t>C1438122000070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产品管理人</w:t>
            </w:r>
          </w:p>
        </w:tc>
        <w:tc>
          <w:tcPr>
            <w:tcW w:w="5027" w:type="dxa"/>
            <w:vAlign w:val="center"/>
          </w:tcPr>
          <w:p>
            <w:pPr>
              <w:jc w:val="left"/>
              <w:rPr>
                <w:rFonts w:hint="eastAsia" w:ascii="宋体" w:hAnsi="宋体"/>
              </w:rPr>
            </w:pPr>
            <w:r>
              <w:rPr>
                <w:rFonts w:hint="eastAsia" w:ascii="宋体" w:hAnsi="宋体"/>
              </w:rPr>
              <w:t>四川银行股份有限公司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产品托管人</w:t>
            </w:r>
          </w:p>
        </w:tc>
        <w:tc>
          <w:tcPr>
            <w:tcW w:w="5027" w:type="dxa"/>
            <w:vAlign w:val="center"/>
          </w:tcPr>
          <w:p>
            <w:pPr>
              <w:jc w:val="left"/>
              <w:rPr>
                <w:rFonts w:hint="eastAsia" w:ascii="宋体" w:hAnsi="宋体"/>
              </w:rPr>
            </w:pPr>
            <w:r>
              <w:rPr>
                <w:rFonts w:hint="eastAsia" w:ascii="宋体" w:hAnsi="宋体"/>
              </w:rPr>
              <w:t>招商银行股份有限公司成都分行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产品运作方式</w:t>
            </w:r>
          </w:p>
        </w:tc>
        <w:tc>
          <w:tcPr>
            <w:tcW w:w="5027" w:type="dxa"/>
            <w:vAlign w:val="center"/>
          </w:tcPr>
          <w:p>
            <w:pPr>
              <w:jc w:val="left"/>
              <w:rPr>
                <w:rFonts w:hint="eastAsia" w:ascii="宋体" w:hAnsi="宋体"/>
              </w:rPr>
            </w:pPr>
            <w:r>
              <w:rPr>
                <w:rFonts w:hint="eastAsia" w:ascii="宋体" w:hAnsi="宋体"/>
              </w:rPr>
              <w:t>公募定期开放式净值型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产品成立日</w:t>
            </w:r>
          </w:p>
        </w:tc>
        <w:tc>
          <w:tcPr>
            <w:tcW w:w="5027" w:type="dxa"/>
            <w:vAlign w:val="center"/>
          </w:tcPr>
          <w:p>
            <w:pPr>
              <w:jc w:val="left"/>
              <w:rPr>
                <w:rFonts w:hint="eastAsia" w:ascii="宋体" w:hAnsi="宋体"/>
              </w:rPr>
            </w:pPr>
            <w:r>
              <w:rPr>
                <w:rFonts w:hint="eastAsia" w:ascii="宋体" w:hAnsi="宋体"/>
              </w:rPr>
              <w:t>2022-09-15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产品到期日</w:t>
            </w:r>
          </w:p>
        </w:tc>
        <w:tc>
          <w:tcPr>
            <w:tcW w:w="5027" w:type="dxa"/>
            <w:vAlign w:val="center"/>
          </w:tcPr>
          <w:p>
            <w:pPr>
              <w:jc w:val="left"/>
              <w:rPr>
                <w:rFonts w:hint="eastAsia" w:ascii="宋体" w:hAnsi="宋体"/>
              </w:rPr>
            </w:pPr>
            <w:r>
              <w:rPr>
                <w:rFonts w:hint="eastAsia" w:ascii="宋体" w:hAnsi="宋体"/>
              </w:rPr>
              <w:t>9999-12-31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3838" w:type="dxa"/>
            <w:vAlign w:val="center"/>
          </w:tcPr>
          <w:p>
            <w:pPr>
              <w:jc w:val="left"/>
              <w:rPr>
                <w:rFonts w:hint="eastAsia" w:ascii="宋体" w:hAnsi="宋体"/>
                <w:szCs w:val="21"/>
              </w:rPr>
            </w:pPr>
            <w:r>
              <w:rPr>
                <w:rFonts w:hint="eastAsia" w:ascii="宋体" w:hAnsi="宋体"/>
                <w:szCs w:val="21"/>
              </w:rPr>
              <w:t>报告期末产品份额总额</w:t>
            </w:r>
          </w:p>
        </w:tc>
        <w:tc>
          <w:tcPr>
            <w:tcW w:w="5027" w:type="dxa"/>
            <w:vAlign w:val="center"/>
          </w:tcPr>
          <w:p>
            <w:pPr>
              <w:jc w:val="left"/>
              <w:rPr>
                <w:rFonts w:hint="eastAsia" w:ascii="宋体" w:hAnsi="宋体"/>
              </w:rPr>
            </w:pPr>
            <w:bookmarkStart w:id="0" w:name="OLE_LINK1"/>
            <w:r>
              <w:rPr>
                <w:rFonts w:hint="eastAsia" w:ascii="宋体" w:hAnsi="宋体"/>
              </w:rPr>
              <w:t>450,088,988.00</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业绩比较基准（如有）</w:t>
            </w:r>
          </w:p>
        </w:tc>
        <w:tc>
          <w:tcPr>
            <w:tcW w:w="5027" w:type="dxa"/>
            <w:vAlign w:val="center"/>
          </w:tcPr>
          <w:p>
            <w:pPr>
              <w:jc w:val="left"/>
              <w:rPr>
                <w:rFonts w:hint="eastAsia" w:ascii="宋体" w:hAnsi="宋体"/>
              </w:rPr>
            </w:pPr>
            <w:r>
              <w:rPr>
                <w:rFonts w:hint="eastAsia" w:ascii="宋体" w:hAnsi="宋体"/>
              </w:rPr>
              <w:t>[2%-3%]/年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highlight w:val="none"/>
                <w:lang w:val="en-US" w:eastAsia="zh-CN"/>
              </w:rPr>
              <w:t>期末杠杆水平</w:t>
            </w:r>
          </w:p>
        </w:tc>
        <w:tc>
          <w:tcPr>
            <w:tcW w:w="5027" w:type="dxa"/>
            <w:vAlign w:val="center"/>
          </w:tcPr>
          <w:p>
            <w:pPr>
              <w:jc w:val="left"/>
              <w:rPr>
                <w:rFonts w:hint="eastAsia" w:ascii="宋体" w:hAnsi="宋体"/>
              </w:rPr>
            </w:pPr>
            <w:r>
              <w:rPr>
                <w:rFonts w:hint="eastAsia" w:ascii="宋体" w:hAnsi="宋体"/>
                <w:lang w:val="en-US" w:eastAsia="zh-CN"/>
              </w:rPr>
              <w:t>100.40%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rPr>
              <w:t>估值方法</w:t>
            </w:r>
          </w:p>
        </w:tc>
        <w:tc>
          <w:tcPr>
            <w:tcW w:w="5027" w:type="dxa"/>
            <w:vAlign w:val="center"/>
          </w:tcPr>
          <w:p>
            <w:pPr>
              <w:jc w:val="left"/>
              <w:rPr>
                <w:rFonts w:hint="eastAsia" w:ascii="宋体" w:hAnsi="宋体"/>
                <w:lang w:val="en-US" w:eastAsia="zh-CN"/>
              </w:rPr>
            </w:pPr>
            <w:r>
              <w:rPr>
                <w:rFonts w:hint="eastAsia" w:ascii="宋体" w:hAnsi="宋体"/>
              </w:rPr>
              <w:t>市值法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托管户户名</w:t>
            </w:r>
          </w:p>
        </w:tc>
        <w:tc>
          <w:tcPr>
            <w:tcW w:w="5027" w:type="dxa"/>
            <w:vAlign w:val="center"/>
          </w:tcPr>
          <w:p>
            <w:pPr>
              <w:jc w:val="left"/>
              <w:rPr>
                <w:rFonts w:hint="eastAsia" w:ascii="宋体" w:hAnsi="宋体"/>
                <w:lang w:val="en-US" w:eastAsia="zh-CN"/>
              </w:rPr>
            </w:pPr>
            <w:r>
              <w:rPr>
                <w:rFonts w:hint="eastAsia" w:ascii="宋体" w:hAnsi="宋体"/>
              </w:rPr>
              <w:t>四川银行-四川银行定开系列1个月1号净值型理财产品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托管户账户账号</w:t>
            </w:r>
          </w:p>
        </w:tc>
        <w:tc>
          <w:tcPr>
            <w:tcW w:w="5027" w:type="dxa"/>
            <w:vAlign w:val="center"/>
          </w:tcPr>
          <w:p>
            <w:pPr>
              <w:jc w:val="left"/>
              <w:rPr>
                <w:rFonts w:hint="eastAsia" w:ascii="宋体" w:hAnsi="宋体"/>
                <w:lang w:val="en-US" w:eastAsia="zh-CN"/>
              </w:rPr>
            </w:pPr>
            <w:r>
              <w:rPr>
                <w:rFonts w:hint="eastAsia" w:ascii="宋体" w:hAnsi="宋体"/>
              </w:rPr>
              <w:t>128912158810940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托管户账户开户行</w:t>
            </w:r>
          </w:p>
        </w:tc>
        <w:tc>
          <w:tcPr>
            <w:tcW w:w="5027" w:type="dxa"/>
            <w:vAlign w:val="center"/>
          </w:tcPr>
          <w:p>
            <w:pPr>
              <w:jc w:val="left"/>
              <w:rPr>
                <w:rFonts w:hint="eastAsia" w:ascii="宋体" w:hAnsi="宋体"/>
              </w:rPr>
            </w:pPr>
            <w:r>
              <w:rPr>
                <w:rFonts w:hint="eastAsia" w:ascii="宋体" w:hAnsi="宋体"/>
                <w:lang w:val="en-US" w:eastAsia="zh-CN"/>
              </w:rPr>
              <w:t>招商银行</w:t>
            </w:r>
            <w:r>
              <w:rPr>
                <w:rFonts w:hint="eastAsia" w:ascii="宋体" w:hAnsi="宋体"/>
              </w:rPr>
              <w:t>成都分行营业部</w:t>
            </w:r>
          </w:p>
        </w:tc>
      </w:tr>
    </w:tbl>
    <w:p>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3853" w:type="dxa"/>
            <w:shd w:val="clear" w:color="auto" w:fill="D9D9D9"/>
            <w:vAlign w:val="center"/>
          </w:tcPr>
          <w:p>
            <w:pPr>
              <w:jc w:val="center"/>
              <w:rPr>
                <w:rFonts w:ascii="宋体" w:hAnsi="宋体"/>
                <w:b/>
              </w:rPr>
            </w:pPr>
            <w:r>
              <w:rPr>
                <w:rFonts w:hint="eastAsia"/>
                <w:b/>
              </w:rPr>
              <w:t>阶段</w:t>
            </w:r>
          </w:p>
        </w:tc>
        <w:tc>
          <w:tcPr>
            <w:tcW w:w="5103" w:type="dxa"/>
            <w:shd w:val="clear" w:color="auto" w:fill="D9D9D9"/>
            <w:vAlign w:val="center"/>
          </w:tcPr>
          <w:p>
            <w:pPr>
              <w:jc w:val="center"/>
              <w:rPr>
                <w:rFonts w:ascii="宋体" w:hAnsi="宋体"/>
                <w:b/>
              </w:rPr>
            </w:pPr>
            <w:r>
              <w:rPr>
                <w:b/>
              </w:rPr>
              <w:t>净值增长率</w:t>
            </w:r>
            <w:r>
              <w:rPr>
                <w:rFonts w:hint="eastAsia"/>
                <w: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当期（</w:t>
            </w:r>
            <w:r>
              <w:rPr>
                <w:rFonts w:ascii="宋体" w:hAnsi="宋体"/>
              </w:rPr>
              <w:t>2025-01-01</w:t>
            </w:r>
            <w:r>
              <w:rPr>
                <w:rFonts w:hint="eastAsia" w:ascii="宋体" w:hAnsi="宋体"/>
              </w:rPr>
              <w:t>至</w:t>
            </w:r>
            <w:r>
              <w:rPr>
                <w:rFonts w:ascii="宋体" w:hAnsi="宋体"/>
              </w:rPr>
              <w:t>2025-03-31</w:t>
            </w:r>
            <w:r>
              <w:rPr>
                <w:rFonts w:hint="eastAsia" w:ascii="宋体" w:hAnsi="宋体"/>
              </w:rPr>
              <w:t>）</w:t>
            </w:r>
          </w:p>
        </w:tc>
        <w:tc>
          <w:tcPr>
            <w:tcW w:w="5103" w:type="dxa"/>
            <w:vAlign w:val="center"/>
          </w:tcPr>
          <w:p>
            <w:pPr>
              <w:jc w:val="right"/>
            </w:pPr>
            <w:r>
              <w:t>0.51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自产品成立日至今</w:t>
            </w:r>
          </w:p>
        </w:tc>
        <w:tc>
          <w:tcPr>
            <w:tcW w:w="5103" w:type="dxa"/>
            <w:vAlign w:val="center"/>
          </w:tcPr>
          <w:p>
            <w:pPr>
              <w:jc w:val="right"/>
            </w:pPr>
            <w:r>
              <w:t>6.97</w:t>
            </w:r>
            <w:bookmarkStart w:id="1" w:name="OLE_LINK4"/>
            <w:bookmarkEnd w:id="1"/>
            <w:bookmarkStart w:id="2" w:name="OLE_LINK7"/>
            <w:bookmarkEnd w:id="2"/>
          </w:p>
        </w:tc>
      </w:tr>
    </w:tbl>
    <w:p>
      <w:pPr>
        <w:spacing w:line="360" w:lineRule="auto"/>
        <w:ind w:left="420" w:leftChars="200"/>
        <w:jc w:val="left"/>
        <w:rPr>
          <w:rFonts w:ascii="宋体" w:hAnsi="宋体"/>
          <w:sz w:val="24"/>
        </w:rPr>
      </w:pPr>
      <w:r>
        <w:rPr>
          <w:rFonts w:ascii="宋体" w:hAnsi="宋体"/>
          <w:sz w:val="24"/>
        </w:rPr>
        <w:t xml:space="preserve"> </w:t>
      </w:r>
    </w:p>
    <w:p>
      <w:pPr>
        <w:pStyle w:val="40"/>
      </w:pPr>
      <w:r>
        <w:rPr>
          <w:rFonts w:hint="eastAsia"/>
        </w:rPr>
        <w:t>主要财务指标</w:t>
      </w:r>
    </w:p>
    <w:p>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3838" w:type="dxa"/>
            <w:shd w:val="clear" w:color="auto" w:fill="D9D9D9"/>
            <w:vAlign w:val="center"/>
          </w:tcPr>
          <w:p>
            <w:pPr>
              <w:jc w:val="left"/>
              <w:rPr>
                <w:rFonts w:ascii="宋体" w:hAnsi="宋体"/>
                <w:b/>
              </w:rPr>
            </w:pPr>
            <w:r>
              <w:rPr>
                <w:rFonts w:hint="eastAsia"/>
                <w:b/>
                <w:bCs/>
              </w:rPr>
              <w:t>项目</w:t>
            </w:r>
          </w:p>
        </w:tc>
        <w:tc>
          <w:tcPr>
            <w:tcW w:w="5027" w:type="dxa"/>
            <w:shd w:val="clear" w:color="auto" w:fill="D9D9D9"/>
            <w:vAlign w:val="center"/>
          </w:tcPr>
          <w:p>
            <w:pPr>
              <w:jc w:val="left"/>
              <w:rPr>
                <w:b/>
              </w:rPr>
            </w:pPr>
            <w:r>
              <w:rPr>
                <w:b/>
              </w:rPr>
              <w:t>2025-01-01</w:t>
            </w:r>
            <w:r>
              <w:rPr>
                <w:rFonts w:hint="eastAsia"/>
                <w:b/>
              </w:rPr>
              <w:t xml:space="preserve">至 </w:t>
            </w:r>
            <w:r>
              <w:rPr>
                <w:b/>
              </w:rPr>
              <w:t>2025-03-31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本期已实现收益</w:t>
            </w:r>
          </w:p>
        </w:tc>
        <w:tc>
          <w:tcPr>
            <w:tcW w:w="5027" w:type="dxa"/>
            <w:vAlign w:val="center"/>
          </w:tcPr>
          <w:p>
            <w:pPr>
              <w:jc w:val="right"/>
            </w:pPr>
            <w:r>
              <w:t>2,090,395.25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ascii="宋体" w:hAnsi="宋体" w:eastAsia="宋体"/>
                <w:b w:val="0"/>
                <w:i w:val="0"/>
                <w:strike w:val="0"/>
                <w:u w:val="none"/>
              </w:rPr>
              <w:t>本期利润</w:t>
            </w:r>
          </w:p>
        </w:tc>
        <w:tc>
          <w:tcPr>
            <w:tcW w:w="5027" w:type="dxa"/>
            <w:shd w:val="clear" w:color="auto" w:fill="auto"/>
            <w:vAlign w:val="center"/>
          </w:tcPr>
          <w:p>
            <w:pPr>
              <w:ind w:hanging="1"/>
              <w:jc w:val="right"/>
            </w:pPr>
            <w:r>
              <w:rPr>
                <w:b w:val="0"/>
                <w:i w:val="0"/>
                <w:strike w:val="0"/>
                <w:u w:val="none"/>
              </w:rPr>
              <w:t>1,668,327.96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ascii="宋体" w:hAnsi="宋体" w:eastAsia="宋体"/>
                <w:b w:val="0"/>
                <w:i w:val="0"/>
                <w:strike w:val="0"/>
                <w:u w:val="none"/>
              </w:rPr>
              <w:t>期末产品资产净值</w:t>
            </w:r>
          </w:p>
        </w:tc>
        <w:tc>
          <w:tcPr>
            <w:tcW w:w="5027" w:type="dxa"/>
            <w:shd w:val="clear" w:color="auto" w:fill="auto"/>
            <w:vAlign w:val="center"/>
          </w:tcPr>
          <w:p>
            <w:pPr>
              <w:ind w:hanging="1"/>
              <w:jc w:val="right"/>
            </w:pPr>
            <w:r>
              <w:rPr>
                <w:b w:val="0"/>
                <w:i w:val="0"/>
                <w:strike w:val="0"/>
                <w:u w:val="none"/>
              </w:rPr>
              <w:t>450,434,261.74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ascii="宋体" w:hAnsi="宋体" w:eastAsia="宋体"/>
                <w:b w:val="0"/>
                <w:i w:val="0"/>
                <w:strike w:val="0"/>
                <w:u w:val="none"/>
              </w:rPr>
              <w:t>期末产品份额净值</w:t>
            </w:r>
          </w:p>
        </w:tc>
        <w:tc>
          <w:tcPr>
            <w:tcW w:w="5027" w:type="dxa"/>
            <w:shd w:val="clear" w:color="auto" w:fill="auto"/>
            <w:vAlign w:val="center"/>
          </w:tcPr>
          <w:p>
            <w:pPr>
              <w:ind w:hanging="1"/>
              <w:jc w:val="right"/>
            </w:pPr>
            <w:r>
              <w:rPr>
                <w:b w:val="0"/>
                <w:i w:val="0"/>
                <w:strike w:val="0"/>
                <w:u w:val="none"/>
              </w:rPr>
              <w:t>1.0008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lang w:val="en-US" w:eastAsia="zh-CN"/>
              </w:rPr>
              <w:t>期末累计单位净值</w:t>
            </w:r>
          </w:p>
        </w:tc>
        <w:tc>
          <w:tcPr>
            <w:tcW w:w="5027" w:type="dxa"/>
            <w:vAlign w:val="center"/>
          </w:tcPr>
          <w:p>
            <w:pPr>
              <w:jc w:val="right"/>
              <w:rPr>
                <w:rFonts w:hint="eastAsia"/>
                <w:lang w:val="en-US" w:eastAsia="zh-CN"/>
              </w:rPr>
            </w:pPr>
            <w:r>
              <w:rPr>
                <w:rFonts w:hint="eastAsia"/>
              </w:rPr>
              <w:t>1.0697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期末最后一个市场交易日资产净值</w:t>
            </w:r>
          </w:p>
        </w:tc>
        <w:tc>
          <w:tcPr>
            <w:tcW w:w="5027" w:type="dxa"/>
            <w:vAlign w:val="center"/>
          </w:tcPr>
          <w:p>
            <w:pPr>
              <w:jc w:val="right"/>
              <w:rPr>
                <w:rFonts w:hint="eastAsia"/>
                <w:lang w:val="en-US" w:eastAsia="zh-CN"/>
              </w:rPr>
            </w:pPr>
            <w:r>
              <w:rPr>
                <w:rFonts w:hint="eastAsia"/>
              </w:rPr>
              <w:t>450,434,261.74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份额</w:t>
            </w:r>
            <w:r>
              <w:rPr>
                <w:rFonts w:hint="eastAsia" w:ascii="宋体" w:hAnsi="宋体"/>
                <w:szCs w:val="21"/>
              </w:rPr>
              <w:t>净值</w:t>
            </w:r>
          </w:p>
        </w:tc>
        <w:tc>
          <w:tcPr>
            <w:tcW w:w="5027" w:type="dxa"/>
            <w:vAlign w:val="center"/>
          </w:tcPr>
          <w:p>
            <w:pPr>
              <w:jc w:val="right"/>
              <w:rPr>
                <w:rFonts w:hint="eastAsia"/>
                <w:lang w:val="en-US" w:eastAsia="zh-CN"/>
              </w:rPr>
            </w:pPr>
            <w:r>
              <w:rPr>
                <w:rFonts w:hint="eastAsia"/>
              </w:rPr>
              <w:t>1.0008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累计单位</w:t>
            </w:r>
            <w:r>
              <w:rPr>
                <w:rFonts w:hint="eastAsia" w:ascii="宋体" w:hAnsi="宋体"/>
                <w:szCs w:val="21"/>
              </w:rPr>
              <w:t>净值</w:t>
            </w:r>
          </w:p>
        </w:tc>
        <w:tc>
          <w:tcPr>
            <w:tcW w:w="5027" w:type="dxa"/>
            <w:vAlign w:val="center"/>
          </w:tcPr>
          <w:p>
            <w:pPr>
              <w:jc w:val="right"/>
              <w:rPr>
                <w:rFonts w:hint="eastAsia"/>
                <w:lang w:val="en-US" w:eastAsia="zh-CN"/>
              </w:rPr>
            </w:pPr>
            <w:r>
              <w:rPr>
                <w:rFonts w:hint="eastAsia"/>
              </w:rPr>
              <w:t>1.0697</w:t>
            </w:r>
          </w:p>
        </w:tc>
      </w:tr>
    </w:tbl>
    <w:p>
      <w:pPr>
        <w:tabs>
          <w:tab w:val="left" w:pos="3135"/>
        </w:tabs>
        <w:ind w:left="420" w:leftChars="200"/>
      </w:pPr>
    </w:p>
    <w:p>
      <w:pPr>
        <w:pStyle w:val="40"/>
      </w:pPr>
      <w:r>
        <w:rPr>
          <w:rFonts w:hint="eastAsia"/>
        </w:rPr>
        <w:t>投资组合情况及</w:t>
      </w:r>
      <w:r>
        <w:t>流动性风险分析</w:t>
      </w: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1"/>
        <w:spacing w:before="156" w:after="156"/>
      </w:pPr>
      <w:r>
        <w:rPr>
          <w:rFonts w:hint="eastAsia"/>
          <w:b w:val="0"/>
        </w:rPr>
        <w:t>期末资产组合情况</w:t>
      </w:r>
    </w:p>
    <w:p>
      <w:pPr>
        <w:jc w:val="right"/>
      </w:pPr>
    </w:p>
    <w:p>
      <w:pPr>
        <w:jc w:val="right"/>
      </w:pPr>
    </w:p>
    <w:p>
      <w:pPr>
        <w:jc w:val="right"/>
      </w:pPr>
      <w:r>
        <w:rPr>
          <w:rFonts w:hint="eastAsia"/>
        </w:rPr>
        <w:t>金额单位：元</w:t>
      </w:r>
    </w:p>
    <w:tbl>
      <w:tblPr>
        <w:tblStyle w:val="17"/>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pPr>
              <w:jc w:val="center"/>
              <w:rPr>
                <w:rFonts w:ascii="宋体" w:hAnsi="宋体"/>
                <w:b/>
                <w:szCs w:val="21"/>
              </w:rPr>
            </w:pPr>
            <w:r>
              <w:rPr>
                <w:rFonts w:hint="eastAsia" w:ascii="宋体" w:hAnsi="宋体"/>
                <w:b/>
                <w:szCs w:val="21"/>
              </w:rPr>
              <w:t>间接</w:t>
            </w:r>
            <w:r>
              <w:rPr>
                <w:rFonts w:ascii="宋体" w:hAnsi="宋体"/>
                <w:b/>
                <w:szCs w:val="21"/>
              </w:rPr>
              <w:t>投资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pPr>
              <w:jc w:val="center"/>
              <w:rPr>
                <w:rFonts w:ascii="宋体" w:hAnsi="宋体"/>
                <w:b/>
                <w:szCs w:val="21"/>
              </w:rPr>
            </w:pPr>
          </w:p>
        </w:tc>
        <w:tc>
          <w:tcPr>
            <w:tcW w:w="1447" w:type="dxa"/>
            <w:vMerge w:val="continue"/>
            <w:shd w:val="clear" w:color="auto" w:fill="D9D9D9"/>
            <w:vAlign w:val="center"/>
          </w:tcPr>
          <w:p>
            <w:pPr>
              <w:jc w:val="center"/>
              <w:rPr>
                <w:rFonts w:ascii="宋体" w:hAnsi="宋体"/>
                <w:b/>
                <w:szCs w:val="21"/>
              </w:rPr>
            </w:pPr>
          </w:p>
        </w:tc>
        <w:tc>
          <w:tcPr>
            <w:tcW w:w="1697" w:type="dxa"/>
            <w:shd w:val="clear" w:color="auto" w:fill="D9D9D9"/>
            <w:vAlign w:val="center"/>
          </w:tcPr>
          <w:p>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pPr>
              <w:jc w:val="center"/>
              <w:rPr>
                <w:rFonts w:ascii="宋体" w:hAnsi="宋体"/>
                <w:b/>
                <w:szCs w:val="21"/>
              </w:rPr>
            </w:pPr>
            <w:r>
              <w:rPr>
                <w:rFonts w:hint="eastAsia" w:ascii="宋体" w:hAnsi="宋体"/>
                <w:b/>
                <w:szCs w:val="21"/>
              </w:rPr>
              <w:t>金额</w:t>
            </w:r>
          </w:p>
        </w:tc>
        <w:tc>
          <w:tcPr>
            <w:tcW w:w="1705" w:type="dxa"/>
            <w:shd w:val="clear" w:color="auto" w:fill="D9D9D9"/>
          </w:tcPr>
          <w:p>
            <w:pPr>
              <w:jc w:val="center"/>
              <w:rPr>
                <w:rFonts w:ascii="宋体" w:hAnsi="宋体"/>
                <w:b/>
                <w:szCs w:val="21"/>
              </w:rPr>
            </w:pPr>
            <w:r>
              <w:rPr>
                <w:rFonts w:hint="eastAsia" w:ascii="宋体" w:hAnsi="宋体"/>
                <w:b/>
                <w:szCs w:val="21"/>
              </w:rPr>
              <w:t>占产品总资产的比例（%）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pPr>
              <w:jc w:val="right"/>
            </w:pPr>
            <w:r>
              <w:t>254,701,159.70</w:t>
            </w:r>
          </w:p>
        </w:tc>
        <w:tc>
          <w:tcPr>
            <w:tcW w:w="1749" w:type="dxa"/>
            <w:shd w:val="clear" w:color="auto" w:fill="auto"/>
            <w:vAlign w:val="center"/>
          </w:tcPr>
          <w:p>
            <w:pPr>
              <w:jc w:val="right"/>
            </w:pPr>
            <w:r>
              <w:t>56.32</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pPr>
              <w:jc w:val="right"/>
            </w:pPr>
            <w:r>
              <w:t>245,000,508.54</w:t>
            </w:r>
          </w:p>
        </w:tc>
        <w:tc>
          <w:tcPr>
            <w:tcW w:w="1749" w:type="dxa"/>
            <w:shd w:val="clear" w:color="auto" w:fill="auto"/>
            <w:vAlign w:val="center"/>
          </w:tcPr>
          <w:p>
            <w:pPr>
              <w:jc w:val="right"/>
            </w:pPr>
            <w:r>
              <w:t>54.18</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pPr>
              <w:jc w:val="right"/>
            </w:pPr>
            <w:r>
              <w:t>9,700,651.16</w:t>
            </w:r>
          </w:p>
        </w:tc>
        <w:tc>
          <w:tcPr>
            <w:tcW w:w="1749" w:type="dxa"/>
            <w:shd w:val="clear" w:color="auto" w:fill="auto"/>
            <w:vAlign w:val="center"/>
          </w:tcPr>
          <w:p>
            <w:pPr>
              <w:jc w:val="right"/>
            </w:pPr>
            <w:r>
              <w:t>2.15</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pPr>
              <w:jc w:val="right"/>
            </w:pPr>
            <w:r>
              <w:t>150,047,962.40</w:t>
            </w:r>
          </w:p>
        </w:tc>
        <w:tc>
          <w:tcPr>
            <w:tcW w:w="1749" w:type="dxa"/>
            <w:shd w:val="clear" w:color="auto" w:fill="auto"/>
            <w:vAlign w:val="center"/>
          </w:tcPr>
          <w:p>
            <w:pPr>
              <w:jc w:val="right"/>
            </w:pPr>
            <w:r>
              <w:t>33.18</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pPr>
              <w:jc w:val="right"/>
            </w:pPr>
            <w:r>
              <w:t>47,171,241.12</w:t>
            </w:r>
          </w:p>
        </w:tc>
        <w:tc>
          <w:tcPr>
            <w:tcW w:w="1749" w:type="dxa"/>
            <w:shd w:val="clear" w:color="auto" w:fill="auto"/>
            <w:vAlign w:val="center"/>
          </w:tcPr>
          <w:p>
            <w:pPr>
              <w:jc w:val="right"/>
            </w:pPr>
            <w:r>
              <w:t>10.43</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pPr>
              <w:jc w:val="right"/>
            </w:pPr>
            <w:r>
              <w:t>305,788.42</w:t>
            </w:r>
          </w:p>
        </w:tc>
        <w:tc>
          <w:tcPr>
            <w:tcW w:w="1749" w:type="dxa"/>
            <w:shd w:val="clear" w:color="auto" w:fill="auto"/>
            <w:vAlign w:val="center"/>
          </w:tcPr>
          <w:p>
            <w:pPr>
              <w:jc w:val="right"/>
            </w:pPr>
            <w:r>
              <w:t>0.07</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shd w:val="clear" w:color="auto" w:fill="auto"/>
          </w:tcPr>
          <w:p>
            <w:pPr>
              <w:jc w:val="left"/>
              <w:rPr>
                <w:rFonts w:ascii="宋体" w:hAnsi="宋体"/>
                <w:szCs w:val="21"/>
              </w:rPr>
            </w:pPr>
          </w:p>
        </w:tc>
        <w:tc>
          <w:tcPr>
            <w:tcW w:w="1447" w:type="dxa"/>
            <w:shd w:val="clear" w:color="auto" w:fill="auto"/>
          </w:tcPr>
          <w:p>
            <w:pPr>
              <w:jc w:val="left"/>
              <w:rPr>
                <w:rFonts w:ascii="宋体" w:hAnsi="宋体"/>
                <w:szCs w:val="21"/>
              </w:rPr>
            </w:pPr>
            <w:r>
              <w:rPr>
                <w:rFonts w:hint="eastAsia" w:ascii="宋体" w:hAnsi="宋体"/>
                <w:szCs w:val="21"/>
              </w:rPr>
              <w:t>合计</w:t>
            </w:r>
          </w:p>
        </w:tc>
        <w:tc>
          <w:tcPr>
            <w:tcW w:w="1697" w:type="dxa"/>
            <w:shd w:val="clear" w:color="auto" w:fill="auto"/>
          </w:tcPr>
          <w:p>
            <w:pPr>
              <w:jc w:val="right"/>
            </w:pPr>
            <w:r>
              <w:t>452,226,151.64</w:t>
            </w:r>
          </w:p>
        </w:tc>
        <w:tc>
          <w:tcPr>
            <w:tcW w:w="1749" w:type="dxa"/>
            <w:shd w:val="clear" w:color="auto" w:fill="auto"/>
          </w:tcPr>
          <w:p>
            <w:pPr>
              <w:jc w:val="right"/>
            </w:pPr>
            <w:r>
              <w:t>100.00</w:t>
            </w:r>
          </w:p>
        </w:tc>
        <w:tc>
          <w:tcPr>
            <w:tcW w:w="1653" w:type="dxa"/>
          </w:tcPr>
          <w:p>
            <w:pPr>
              <w:jc w:val="right"/>
            </w:pPr>
            <w:r>
              <w:t>0.00</w:t>
            </w:r>
          </w:p>
        </w:tc>
        <w:tc>
          <w:tcPr>
            <w:tcW w:w="1705" w:type="dxa"/>
          </w:tcPr>
          <w:p>
            <w:pPr>
              <w:jc w:val="right"/>
            </w:pPr>
            <w:r>
              <w:t>0.00</w:t>
            </w:r>
          </w:p>
        </w:tc>
      </w:tr>
    </w:tbl>
    <w:p>
      <w:pPr>
        <w:ind w:left="420" w:leftChars="200"/>
        <w:jc w:val="left"/>
        <w:rPr>
          <w:rFonts w:ascii="宋体" w:hAnsi="宋体"/>
          <w:sz w:val="24"/>
        </w:rPr>
      </w:pPr>
    </w:p>
    <w:p>
      <w:pPr>
        <w:ind w:left="420" w:leftChars="200"/>
        <w:jc w:val="left"/>
        <w:rPr>
          <w:rFonts w:asciiTheme="minorEastAsia" w:hAnsiTheme="minorEastAsia" w:eastAsiaTheme="minorEastAsia"/>
          <w:sz w:val="24"/>
        </w:rPr>
      </w:pPr>
    </w:p>
    <w:p>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Theme="minorEastAsia" w:hAnsiTheme="minorEastAsia" w:eastAsiaTheme="minorEastAsia"/>
          <w:sz w:val="24"/>
          <w:highlight w:val="yellow"/>
        </w:rPr>
      </w:pPr>
      <w:r>
        <w:rPr>
          <w:rFonts w:hint="eastAsia" w:ascii="宋体" w:hAnsi="宋体"/>
          <w:sz w:val="24"/>
        </w:rPr>
        <w:t xml:space="preserve">  </w:t>
      </w:r>
      <w:r>
        <w:rPr>
          <w:rFonts w:hint="eastAsia" w:ascii="宋体" w:hAnsi="宋体"/>
          <w:szCs w:val="21"/>
        </w:rPr>
        <w:t xml:space="preserve"> 本产品主要投资范围为标准化资产，并保有一定流动性储备，整体流动性风险可控。本产品通过额度控制、事前预测、募集资金、正回购及变现高流动性资产的方式应对流动性风险。具体包括：一是跟踪资金申购赎回（或到期）情况，提前备付流动资金；二是根据产品的期限，合理安排投资资产剩余期限，预防流动性风险；三是产品持有一定比例的高流动性资产，赎回期（或到期）前主要通过储备的流动性或卖出资产变现，满足产品的流动性需求。</w:t>
      </w:r>
    </w:p>
    <w:p>
      <w:pPr>
        <w:widowControl/>
        <w:jc w:val="left"/>
        <w:rPr>
          <w:rFonts w:ascii="宋体" w:hAnsi="宋体"/>
          <w:sz w:val="24"/>
        </w:rPr>
      </w:pPr>
    </w:p>
    <w:p>
      <w:pPr>
        <w:pStyle w:val="41"/>
        <w:spacing w:before="156" w:after="156"/>
        <w:rPr>
          <w:b w:val="0"/>
        </w:rPr>
      </w:pPr>
      <w:r>
        <w:rPr>
          <w:rFonts w:hint="eastAsia"/>
          <w:b w:val="0"/>
        </w:rPr>
        <w:t>报告期末占资产净值比例大小排序的前十项资产</w:t>
      </w:r>
      <w:r>
        <w:rPr>
          <w:b w:val="0"/>
        </w:rPr>
        <w:t>明细</w:t>
      </w:r>
    </w:p>
    <w:p>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777" w:type="dxa"/>
            <w:shd w:val="clear" w:color="auto" w:fill="D9D9D9"/>
            <w:vAlign w:val="center"/>
          </w:tcPr>
          <w:p>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pPr>
              <w:jc w:val="left"/>
              <w:rPr>
                <w:rFonts w:hint="eastAsia" w:ascii="宋体" w:hAnsi="宋体" w:eastAsia="宋体"/>
                <w:b/>
                <w:szCs w:val="21"/>
                <w:lang w:val="en-US" w:eastAsia="zh-CN"/>
              </w:rPr>
            </w:pPr>
            <w:r>
              <w:rPr>
                <w:rFonts w:hint="eastAsia" w:ascii="宋体" w:hAnsi="宋体"/>
                <w:b/>
                <w:szCs w:val="21"/>
                <w:lang w:val="en-US" w:eastAsia="zh-CN"/>
              </w:rPr>
              <w:t>占产品资产净值比例（%）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szCs w:val="21"/>
              </w:rPr>
            </w:pPr>
            <w:r>
              <w:rPr>
                <w:szCs w:val="21"/>
              </w:rPr>
              <w:t>1</w:t>
            </w:r>
          </w:p>
        </w:tc>
        <w:tc>
          <w:tcPr>
            <w:tcW w:w="3159" w:type="dxa"/>
            <w:shd w:val="clear" w:color="auto" w:fill="auto"/>
            <w:vAlign w:val="center"/>
          </w:tcPr>
          <w:p>
            <w:pPr>
              <w:rPr>
                <w:rFonts w:asciiTheme="majorEastAsia" w:hAnsiTheme="majorEastAsia" w:eastAsiaTheme="majorEastAsia"/>
                <w:szCs w:val="21"/>
              </w:rPr>
            </w:pPr>
            <w:r>
              <w:rPr>
                <w:rFonts w:asciiTheme="majorEastAsia" w:hAnsiTheme="majorEastAsia" w:eastAsiaTheme="majorEastAsia"/>
                <w:szCs w:val="21"/>
              </w:rPr>
              <w:t>GC007</w:t>
            </w:r>
          </w:p>
        </w:tc>
        <w:tc>
          <w:tcPr>
            <w:tcW w:w="2693" w:type="dxa"/>
            <w:shd w:val="clear" w:color="auto" w:fill="auto"/>
            <w:vAlign w:val="center"/>
          </w:tcPr>
          <w:p>
            <w:pPr>
              <w:jc w:val="right"/>
            </w:pPr>
            <w:r>
              <w:t>150,047,962.40</w:t>
            </w:r>
          </w:p>
        </w:tc>
        <w:tc>
          <w:tcPr>
            <w:tcW w:w="2431" w:type="dxa"/>
            <w:shd w:val="clear" w:color="auto" w:fill="auto"/>
            <w:vAlign w:val="center"/>
          </w:tcPr>
          <w:p>
            <w:pPr>
              <w:jc w:val="right"/>
            </w:pPr>
            <w:bookmarkStart w:id="3" w:name="OLE_LINK5"/>
            <w:bookmarkEnd w:id="3"/>
            <w:bookmarkStart w:id="4" w:name="OLE_LINK6"/>
            <w:bookmarkEnd w:id="4"/>
            <w:r>
              <w:rPr>
                <w:rFonts w:hint="eastAsia"/>
              </w:rPr>
              <w:t>33.31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2</w:t>
            </w:r>
          </w:p>
        </w:tc>
        <w:tc>
          <w:tcPr>
            <w:tcW w:w="3159" w:type="dxa"/>
            <w:shd w:val="clear" w:color="auto" w:fill="auto"/>
            <w:vAlign w:val="center"/>
          </w:tcPr>
          <w:p>
            <w:pPr>
              <w:ind w:hanging="1"/>
              <w:jc w:val="left"/>
              <w:rPr>
                <w:rFonts w:asciiTheme="majorEastAsia" w:hAnsiTheme="majorEastAsia" w:eastAsiaTheme="majorEastAsia"/>
                <w:szCs w:val="21"/>
              </w:rPr>
            </w:pPr>
            <w:r>
              <w:rPr>
                <w:b w:val="0"/>
                <w:i w:val="0"/>
                <w:strike w:val="0"/>
                <w:u w:val="none"/>
              </w:rPr>
              <w:t>25上海银行CD041</w:t>
            </w:r>
          </w:p>
        </w:tc>
        <w:tc>
          <w:tcPr>
            <w:tcW w:w="2693" w:type="dxa"/>
            <w:shd w:val="clear" w:color="auto" w:fill="auto"/>
            <w:vAlign w:val="center"/>
          </w:tcPr>
          <w:p>
            <w:pPr>
              <w:ind w:hanging="1"/>
              <w:jc w:val="right"/>
            </w:pPr>
            <w:r>
              <w:rPr>
                <w:b w:val="0"/>
                <w:i w:val="0"/>
                <w:strike w:val="0"/>
                <w:u w:val="none"/>
              </w:rPr>
              <w:t>29,967,767.42</w:t>
            </w:r>
          </w:p>
        </w:tc>
        <w:tc>
          <w:tcPr>
            <w:tcW w:w="2431" w:type="dxa"/>
            <w:shd w:val="clear" w:color="auto" w:fill="auto"/>
            <w:vAlign w:val="center"/>
          </w:tcPr>
          <w:p>
            <w:pPr>
              <w:ind w:hanging="1"/>
              <w:jc w:val="right"/>
            </w:pPr>
            <w:r>
              <w:rPr>
                <w:b w:val="0"/>
                <w:i w:val="0"/>
                <w:strike w:val="0"/>
                <w:u w:val="none"/>
              </w:rPr>
              <w:t>6.65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3</w:t>
            </w:r>
          </w:p>
        </w:tc>
        <w:tc>
          <w:tcPr>
            <w:tcW w:w="3159" w:type="dxa"/>
            <w:shd w:val="clear" w:color="auto" w:fill="auto"/>
            <w:vAlign w:val="center"/>
          </w:tcPr>
          <w:p>
            <w:pPr>
              <w:ind w:hanging="1"/>
              <w:jc w:val="left"/>
              <w:rPr>
                <w:rFonts w:asciiTheme="majorEastAsia" w:hAnsiTheme="majorEastAsia" w:eastAsiaTheme="majorEastAsia"/>
                <w:szCs w:val="21"/>
              </w:rPr>
            </w:pPr>
            <w:r>
              <w:rPr>
                <w:b w:val="0"/>
                <w:i w:val="0"/>
                <w:strike w:val="0"/>
                <w:u w:val="none"/>
              </w:rPr>
              <w:t>25唐山银行CD037</w:t>
            </w:r>
          </w:p>
        </w:tc>
        <w:tc>
          <w:tcPr>
            <w:tcW w:w="2693" w:type="dxa"/>
            <w:shd w:val="clear" w:color="auto" w:fill="auto"/>
            <w:vAlign w:val="center"/>
          </w:tcPr>
          <w:p>
            <w:pPr>
              <w:ind w:hanging="1"/>
              <w:jc w:val="right"/>
            </w:pPr>
            <w:r>
              <w:rPr>
                <w:b w:val="0"/>
                <w:i w:val="0"/>
                <w:strike w:val="0"/>
                <w:u w:val="none"/>
              </w:rPr>
              <w:t>19,846,477.35</w:t>
            </w:r>
          </w:p>
        </w:tc>
        <w:tc>
          <w:tcPr>
            <w:tcW w:w="2431" w:type="dxa"/>
            <w:shd w:val="clear" w:color="auto" w:fill="auto"/>
            <w:vAlign w:val="center"/>
          </w:tcPr>
          <w:p>
            <w:pPr>
              <w:ind w:hanging="1"/>
              <w:jc w:val="right"/>
            </w:pPr>
            <w:r>
              <w:rPr>
                <w:b w:val="0"/>
                <w:i w:val="0"/>
                <w:strike w:val="0"/>
                <w:u w:val="none"/>
              </w:rPr>
              <w:t>4.41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4</w:t>
            </w:r>
          </w:p>
        </w:tc>
        <w:tc>
          <w:tcPr>
            <w:tcW w:w="3159" w:type="dxa"/>
            <w:shd w:val="clear" w:color="auto" w:fill="auto"/>
            <w:vAlign w:val="center"/>
          </w:tcPr>
          <w:p>
            <w:pPr>
              <w:ind w:hanging="1"/>
              <w:jc w:val="left"/>
              <w:rPr>
                <w:rFonts w:asciiTheme="majorEastAsia" w:hAnsiTheme="majorEastAsia" w:eastAsiaTheme="majorEastAsia"/>
                <w:szCs w:val="21"/>
              </w:rPr>
            </w:pPr>
            <w:r>
              <w:rPr>
                <w:b w:val="0"/>
                <w:i w:val="0"/>
                <w:strike w:val="0"/>
                <w:u w:val="none"/>
              </w:rPr>
              <w:t>24新津城乡MTN001A</w:t>
            </w:r>
          </w:p>
        </w:tc>
        <w:tc>
          <w:tcPr>
            <w:tcW w:w="2693" w:type="dxa"/>
            <w:shd w:val="clear" w:color="auto" w:fill="auto"/>
            <w:vAlign w:val="center"/>
          </w:tcPr>
          <w:p>
            <w:pPr>
              <w:ind w:hanging="1"/>
              <w:jc w:val="right"/>
            </w:pPr>
            <w:r>
              <w:rPr>
                <w:b w:val="0"/>
                <w:i w:val="0"/>
                <w:strike w:val="0"/>
                <w:u w:val="none"/>
              </w:rPr>
              <w:t>10,195,594.52</w:t>
            </w:r>
          </w:p>
        </w:tc>
        <w:tc>
          <w:tcPr>
            <w:tcW w:w="2431" w:type="dxa"/>
            <w:shd w:val="clear" w:color="auto" w:fill="auto"/>
            <w:vAlign w:val="center"/>
          </w:tcPr>
          <w:p>
            <w:pPr>
              <w:ind w:hanging="1"/>
              <w:jc w:val="right"/>
            </w:pPr>
            <w:r>
              <w:rPr>
                <w:b w:val="0"/>
                <w:i w:val="0"/>
                <w:strike w:val="0"/>
                <w:u w:val="none"/>
              </w:rPr>
              <w:t>2.26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5</w:t>
            </w:r>
          </w:p>
        </w:tc>
        <w:tc>
          <w:tcPr>
            <w:tcW w:w="3159" w:type="dxa"/>
            <w:shd w:val="clear" w:color="auto" w:fill="auto"/>
            <w:vAlign w:val="center"/>
          </w:tcPr>
          <w:p>
            <w:pPr>
              <w:ind w:hanging="1"/>
              <w:jc w:val="left"/>
              <w:rPr>
                <w:rFonts w:asciiTheme="majorEastAsia" w:hAnsiTheme="majorEastAsia" w:eastAsiaTheme="majorEastAsia"/>
                <w:szCs w:val="21"/>
              </w:rPr>
            </w:pPr>
            <w:r>
              <w:rPr>
                <w:b w:val="0"/>
                <w:i w:val="0"/>
                <w:strike w:val="0"/>
                <w:u w:val="none"/>
              </w:rPr>
              <w:t>24东坡01</w:t>
            </w:r>
          </w:p>
        </w:tc>
        <w:tc>
          <w:tcPr>
            <w:tcW w:w="2693" w:type="dxa"/>
            <w:shd w:val="clear" w:color="auto" w:fill="auto"/>
            <w:vAlign w:val="center"/>
          </w:tcPr>
          <w:p>
            <w:pPr>
              <w:ind w:hanging="1"/>
              <w:jc w:val="right"/>
            </w:pPr>
            <w:r>
              <w:rPr>
                <w:b w:val="0"/>
                <w:i w:val="0"/>
                <w:strike w:val="0"/>
                <w:u w:val="none"/>
              </w:rPr>
              <w:t>10,121,424.66</w:t>
            </w:r>
          </w:p>
        </w:tc>
        <w:tc>
          <w:tcPr>
            <w:tcW w:w="2431" w:type="dxa"/>
            <w:shd w:val="clear" w:color="auto" w:fill="auto"/>
            <w:vAlign w:val="center"/>
          </w:tcPr>
          <w:p>
            <w:pPr>
              <w:ind w:hanging="1"/>
              <w:jc w:val="right"/>
            </w:pPr>
            <w:r>
              <w:rPr>
                <w:b w:val="0"/>
                <w:i w:val="0"/>
                <w:strike w:val="0"/>
                <w:u w:val="none"/>
              </w:rPr>
              <w:t>2.25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6</w:t>
            </w:r>
          </w:p>
        </w:tc>
        <w:tc>
          <w:tcPr>
            <w:tcW w:w="3159" w:type="dxa"/>
            <w:shd w:val="clear" w:color="auto" w:fill="auto"/>
            <w:vAlign w:val="center"/>
          </w:tcPr>
          <w:p>
            <w:pPr>
              <w:ind w:hanging="1"/>
              <w:jc w:val="left"/>
              <w:rPr>
                <w:rFonts w:asciiTheme="majorEastAsia" w:hAnsiTheme="majorEastAsia" w:eastAsiaTheme="majorEastAsia"/>
                <w:szCs w:val="21"/>
              </w:rPr>
            </w:pPr>
            <w:r>
              <w:rPr>
                <w:b w:val="0"/>
                <w:i w:val="0"/>
                <w:strike w:val="0"/>
                <w:u w:val="none"/>
              </w:rPr>
              <w:t>24昆仑银行CD028</w:t>
            </w:r>
          </w:p>
        </w:tc>
        <w:tc>
          <w:tcPr>
            <w:tcW w:w="2693" w:type="dxa"/>
            <w:shd w:val="clear" w:color="auto" w:fill="auto"/>
            <w:vAlign w:val="center"/>
          </w:tcPr>
          <w:p>
            <w:pPr>
              <w:ind w:hanging="1"/>
              <w:jc w:val="right"/>
            </w:pPr>
            <w:r>
              <w:rPr>
                <w:b w:val="0"/>
                <w:i w:val="0"/>
                <w:strike w:val="0"/>
                <w:u w:val="none"/>
              </w:rPr>
              <w:t>9,989,075.07</w:t>
            </w:r>
          </w:p>
        </w:tc>
        <w:tc>
          <w:tcPr>
            <w:tcW w:w="2431" w:type="dxa"/>
            <w:shd w:val="clear" w:color="auto" w:fill="auto"/>
            <w:vAlign w:val="center"/>
          </w:tcPr>
          <w:p>
            <w:pPr>
              <w:ind w:hanging="1"/>
              <w:jc w:val="right"/>
            </w:pPr>
            <w:r>
              <w:rPr>
                <w:b w:val="0"/>
                <w:i w:val="0"/>
                <w:strike w:val="0"/>
                <w:u w:val="none"/>
              </w:rPr>
              <w:t>2.22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7</w:t>
            </w:r>
          </w:p>
        </w:tc>
        <w:tc>
          <w:tcPr>
            <w:tcW w:w="3159" w:type="dxa"/>
            <w:shd w:val="clear" w:color="auto" w:fill="auto"/>
            <w:vAlign w:val="center"/>
          </w:tcPr>
          <w:p>
            <w:pPr>
              <w:ind w:hanging="1"/>
              <w:jc w:val="left"/>
              <w:rPr>
                <w:rFonts w:asciiTheme="majorEastAsia" w:hAnsiTheme="majorEastAsia" w:eastAsiaTheme="majorEastAsia"/>
                <w:szCs w:val="21"/>
              </w:rPr>
            </w:pPr>
            <w:r>
              <w:rPr>
                <w:b w:val="0"/>
                <w:i w:val="0"/>
                <w:strike w:val="0"/>
                <w:u w:val="none"/>
              </w:rPr>
              <w:t>24贵州银行CD054</w:t>
            </w:r>
          </w:p>
        </w:tc>
        <w:tc>
          <w:tcPr>
            <w:tcW w:w="2693" w:type="dxa"/>
            <w:shd w:val="clear" w:color="auto" w:fill="auto"/>
            <w:vAlign w:val="center"/>
          </w:tcPr>
          <w:p>
            <w:pPr>
              <w:ind w:hanging="1"/>
              <w:jc w:val="right"/>
            </w:pPr>
            <w:r>
              <w:rPr>
                <w:b w:val="0"/>
                <w:i w:val="0"/>
                <w:strike w:val="0"/>
                <w:u w:val="none"/>
              </w:rPr>
              <w:t>9,988,484.82</w:t>
            </w:r>
          </w:p>
        </w:tc>
        <w:tc>
          <w:tcPr>
            <w:tcW w:w="2431" w:type="dxa"/>
            <w:shd w:val="clear" w:color="auto" w:fill="auto"/>
            <w:vAlign w:val="center"/>
          </w:tcPr>
          <w:p>
            <w:pPr>
              <w:ind w:hanging="1"/>
              <w:jc w:val="right"/>
            </w:pPr>
            <w:r>
              <w:rPr>
                <w:b w:val="0"/>
                <w:i w:val="0"/>
                <w:strike w:val="0"/>
                <w:u w:val="none"/>
              </w:rPr>
              <w:t>2.22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8</w:t>
            </w:r>
          </w:p>
        </w:tc>
        <w:tc>
          <w:tcPr>
            <w:tcW w:w="3159" w:type="dxa"/>
            <w:shd w:val="clear" w:color="auto" w:fill="auto"/>
            <w:vAlign w:val="center"/>
          </w:tcPr>
          <w:p>
            <w:pPr>
              <w:ind w:hanging="1"/>
              <w:jc w:val="left"/>
              <w:rPr>
                <w:rFonts w:asciiTheme="majorEastAsia" w:hAnsiTheme="majorEastAsia" w:eastAsiaTheme="majorEastAsia"/>
                <w:szCs w:val="21"/>
              </w:rPr>
            </w:pPr>
            <w:r>
              <w:rPr>
                <w:b w:val="0"/>
                <w:i w:val="0"/>
                <w:strike w:val="0"/>
                <w:u w:val="none"/>
              </w:rPr>
              <w:t>24厦门国际银行CD090</w:t>
            </w:r>
          </w:p>
        </w:tc>
        <w:tc>
          <w:tcPr>
            <w:tcW w:w="2693" w:type="dxa"/>
            <w:shd w:val="clear" w:color="auto" w:fill="auto"/>
            <w:vAlign w:val="center"/>
          </w:tcPr>
          <w:p>
            <w:pPr>
              <w:ind w:hanging="1"/>
              <w:jc w:val="right"/>
            </w:pPr>
            <w:r>
              <w:rPr>
                <w:b w:val="0"/>
                <w:i w:val="0"/>
                <w:strike w:val="0"/>
                <w:u w:val="none"/>
              </w:rPr>
              <w:t>9,987,819.84</w:t>
            </w:r>
          </w:p>
        </w:tc>
        <w:tc>
          <w:tcPr>
            <w:tcW w:w="2431" w:type="dxa"/>
            <w:shd w:val="clear" w:color="auto" w:fill="auto"/>
            <w:vAlign w:val="center"/>
          </w:tcPr>
          <w:p>
            <w:pPr>
              <w:ind w:hanging="1"/>
              <w:jc w:val="right"/>
            </w:pPr>
            <w:r>
              <w:rPr>
                <w:b w:val="0"/>
                <w:i w:val="0"/>
                <w:strike w:val="0"/>
                <w:u w:val="none"/>
              </w:rPr>
              <w:t>2.22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9</w:t>
            </w:r>
          </w:p>
        </w:tc>
        <w:tc>
          <w:tcPr>
            <w:tcW w:w="3159" w:type="dxa"/>
            <w:shd w:val="clear" w:color="auto" w:fill="auto"/>
            <w:vAlign w:val="center"/>
          </w:tcPr>
          <w:p>
            <w:pPr>
              <w:ind w:hanging="1"/>
              <w:jc w:val="left"/>
              <w:rPr>
                <w:rFonts w:asciiTheme="majorEastAsia" w:hAnsiTheme="majorEastAsia" w:eastAsiaTheme="majorEastAsia"/>
                <w:szCs w:val="21"/>
              </w:rPr>
            </w:pPr>
            <w:r>
              <w:rPr>
                <w:b w:val="0"/>
                <w:i w:val="0"/>
                <w:strike w:val="0"/>
                <w:u w:val="none"/>
              </w:rPr>
              <w:t>25江苏银行CD035</w:t>
            </w:r>
          </w:p>
        </w:tc>
        <w:tc>
          <w:tcPr>
            <w:tcW w:w="2693" w:type="dxa"/>
            <w:shd w:val="clear" w:color="auto" w:fill="auto"/>
            <w:vAlign w:val="center"/>
          </w:tcPr>
          <w:p>
            <w:pPr>
              <w:ind w:hanging="1"/>
              <w:jc w:val="right"/>
            </w:pPr>
            <w:r>
              <w:rPr>
                <w:b w:val="0"/>
                <w:i w:val="0"/>
                <w:strike w:val="0"/>
                <w:u w:val="none"/>
              </w:rPr>
              <w:t>9,971,069.55</w:t>
            </w:r>
          </w:p>
        </w:tc>
        <w:tc>
          <w:tcPr>
            <w:tcW w:w="2431" w:type="dxa"/>
            <w:shd w:val="clear" w:color="auto" w:fill="auto"/>
            <w:vAlign w:val="center"/>
          </w:tcPr>
          <w:p>
            <w:pPr>
              <w:ind w:hanging="1"/>
              <w:jc w:val="right"/>
            </w:pPr>
            <w:r>
              <w:rPr>
                <w:b w:val="0"/>
                <w:i w:val="0"/>
                <w:strike w:val="0"/>
                <w:u w:val="none"/>
              </w:rPr>
              <w:t>2.21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10</w:t>
            </w:r>
          </w:p>
        </w:tc>
        <w:tc>
          <w:tcPr>
            <w:tcW w:w="3159" w:type="dxa"/>
            <w:shd w:val="clear" w:color="auto" w:fill="auto"/>
            <w:vAlign w:val="center"/>
          </w:tcPr>
          <w:p>
            <w:pPr>
              <w:ind w:hanging="1"/>
              <w:jc w:val="left"/>
              <w:rPr>
                <w:rFonts w:asciiTheme="majorEastAsia" w:hAnsiTheme="majorEastAsia" w:eastAsiaTheme="majorEastAsia"/>
                <w:szCs w:val="21"/>
              </w:rPr>
            </w:pPr>
            <w:r>
              <w:rPr>
                <w:b w:val="0"/>
                <w:i w:val="0"/>
                <w:strike w:val="0"/>
                <w:u w:val="none"/>
              </w:rPr>
              <w:t>24重庆三峡银行CD047</w:t>
            </w:r>
          </w:p>
        </w:tc>
        <w:tc>
          <w:tcPr>
            <w:tcW w:w="2693" w:type="dxa"/>
            <w:shd w:val="clear" w:color="auto" w:fill="auto"/>
            <w:vAlign w:val="center"/>
          </w:tcPr>
          <w:p>
            <w:pPr>
              <w:ind w:hanging="1"/>
              <w:jc w:val="right"/>
            </w:pPr>
            <w:r>
              <w:rPr>
                <w:b w:val="0"/>
                <w:i w:val="0"/>
                <w:strike w:val="0"/>
                <w:u w:val="none"/>
              </w:rPr>
              <w:t>9,956,578.90</w:t>
            </w:r>
          </w:p>
        </w:tc>
        <w:tc>
          <w:tcPr>
            <w:tcW w:w="2431" w:type="dxa"/>
            <w:shd w:val="clear" w:color="auto" w:fill="auto"/>
            <w:vAlign w:val="center"/>
          </w:tcPr>
          <w:p>
            <w:pPr>
              <w:ind w:hanging="1"/>
              <w:jc w:val="right"/>
            </w:pPr>
            <w:r>
              <w:rPr>
                <w:b w:val="0"/>
                <w:i w:val="0"/>
                <w:strike w:val="0"/>
                <w:u w:val="none"/>
              </w:rPr>
              <w:t>2.21</w:t>
            </w:r>
          </w:p>
        </w:tc>
      </w:tr>
    </w:tbl>
    <w:p>
      <w:pPr>
        <w:rPr>
          <w:rFonts w:ascii="宋体" w:hAnsi="宋体"/>
          <w:sz w:val="24"/>
        </w:rPr>
      </w:pPr>
      <w:r>
        <w:rPr>
          <w:rFonts w:hint="eastAsia" w:ascii="宋体" w:hAnsi="宋体"/>
          <w:sz w:val="24"/>
        </w:rPr>
        <w:t xml:space="preserve"> </w:t>
      </w:r>
    </w:p>
    <w:p>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pPr>
        <w:pStyle w:val="40"/>
      </w:pPr>
      <w:r>
        <w:t>托管人报告</w:t>
      </w:r>
    </w:p>
    <w:p>
      <w:pPr>
        <w:spacing w:line="360" w:lineRule="auto"/>
        <w:ind w:right="-107" w:rightChars="-51"/>
        <w:jc w:val="left"/>
        <w:rPr>
          <w:rFonts w:hint="eastAsia" w:ascii="宋体" w:hAnsi="宋体"/>
          <w:szCs w:val="21"/>
        </w:rPr>
      </w:pPr>
      <w:r>
        <w:rPr>
          <w:rFonts w:hint="eastAsia" w:ascii="宋体" w:hAnsi="宋体"/>
          <w:szCs w:val="21"/>
        </w:rPr>
        <w:t>5.1、托管人履职情况</w:t>
      </w:r>
    </w:p>
    <w:p>
      <w:pPr>
        <w:spacing w:line="360" w:lineRule="auto"/>
        <w:ind w:right="-107" w:rightChars="-51"/>
        <w:jc w:val="left"/>
        <w:rPr>
          <w:rFonts w:hint="eastAsia" w:ascii="宋体" w:hAnsi="宋体"/>
          <w:szCs w:val="21"/>
        </w:rPr>
      </w:pPr>
      <w:r>
        <w:rPr>
          <w:rFonts w:hint="eastAsia" w:ascii="宋体" w:hAnsi="宋体"/>
          <w:szCs w:val="21"/>
        </w:rPr>
        <w:t>（一）托管资产保管</w:t>
      </w:r>
    </w:p>
    <w:p>
      <w:pPr>
        <w:spacing w:line="360" w:lineRule="auto"/>
        <w:ind w:right="-107" w:rightChars="-51" w:firstLine="420" w:firstLineChars="200"/>
        <w:jc w:val="left"/>
        <w:rPr>
          <w:rFonts w:hint="eastAsia" w:ascii="宋体" w:hAnsi="宋体"/>
          <w:szCs w:val="21"/>
        </w:rPr>
      </w:pPr>
      <w:r>
        <w:rPr>
          <w:rFonts w:hint="eastAsia" w:ascii="宋体" w:hAnsi="宋体"/>
          <w:szCs w:val="21"/>
        </w:rPr>
        <w:t>托管资产独立于招商银行的自有资产及其托管的其他资产，不同投资账户之间的托管资产之间互相独立。我行按照监管相关规定，完整保存与托管资产有关的会计档案、与托管资产有关的投资记录、指令和合同等。</w:t>
      </w:r>
    </w:p>
    <w:p>
      <w:pPr>
        <w:spacing w:line="360" w:lineRule="auto"/>
        <w:ind w:right="-107" w:rightChars="-51"/>
        <w:jc w:val="left"/>
        <w:rPr>
          <w:rFonts w:hint="eastAsia" w:ascii="宋体" w:hAnsi="宋体"/>
          <w:szCs w:val="21"/>
        </w:rPr>
      </w:pPr>
      <w:r>
        <w:rPr>
          <w:rFonts w:hint="eastAsia" w:ascii="宋体" w:hAnsi="宋体"/>
          <w:szCs w:val="21"/>
        </w:rPr>
        <w:t>（二）会计核算和估值</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招商银行按照与管理人在托管协议中约定的统一记账方法和会计处理原则，独立地设置、登录和保管本产品的全套账册，进行会计核算和资产估值。</w:t>
      </w:r>
    </w:p>
    <w:p>
      <w:pPr>
        <w:spacing w:line="360" w:lineRule="auto"/>
        <w:ind w:right="-107" w:rightChars="-51"/>
        <w:jc w:val="left"/>
        <w:rPr>
          <w:rFonts w:hint="eastAsia" w:ascii="宋体" w:hAnsi="宋体"/>
          <w:szCs w:val="21"/>
        </w:rPr>
      </w:pPr>
      <w:r>
        <w:rPr>
          <w:rFonts w:hint="eastAsia" w:ascii="宋体" w:hAnsi="宋体"/>
          <w:szCs w:val="21"/>
        </w:rPr>
        <w:t>（三）定期核对有关数据</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招商银行根据托管协议约定与管理人或外包机构定期进行账务核对。</w:t>
      </w:r>
    </w:p>
    <w:p>
      <w:pPr>
        <w:spacing w:line="360" w:lineRule="auto"/>
        <w:ind w:right="-107" w:rightChars="-51"/>
        <w:jc w:val="left"/>
        <w:rPr>
          <w:rFonts w:hint="eastAsia" w:ascii="宋体" w:hAnsi="宋体"/>
          <w:szCs w:val="21"/>
        </w:rPr>
      </w:pPr>
      <w:r>
        <w:rPr>
          <w:rFonts w:hint="eastAsia" w:ascii="宋体" w:hAnsi="宋体"/>
          <w:szCs w:val="21"/>
        </w:rPr>
        <w:t>（四）投资监督</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招商银行根据法规、托管协议以及双方约定的投资监督条款，对投资运作情况进行监督。</w:t>
      </w:r>
    </w:p>
    <w:p>
      <w:pPr>
        <w:spacing w:line="360" w:lineRule="auto"/>
        <w:ind w:right="-107" w:rightChars="-51"/>
        <w:jc w:val="left"/>
        <w:rPr>
          <w:rFonts w:hint="eastAsia" w:ascii="宋体" w:hAnsi="宋体"/>
          <w:szCs w:val="21"/>
        </w:rPr>
      </w:pPr>
      <w:r>
        <w:rPr>
          <w:rFonts w:hint="eastAsia" w:ascii="宋体" w:hAnsi="宋体"/>
          <w:szCs w:val="21"/>
        </w:rPr>
        <w:t>5.2、托管人声明</w:t>
      </w:r>
    </w:p>
    <w:p>
      <w:pPr>
        <w:spacing w:line="360" w:lineRule="auto"/>
        <w:ind w:right="-107" w:rightChars="-51" w:firstLine="420" w:firstLineChars="200"/>
        <w:jc w:val="left"/>
        <w:rPr>
          <w:rFonts w:hint="eastAsia" w:ascii="宋体" w:hAnsi="宋体"/>
          <w:szCs w:val="21"/>
        </w:rPr>
      </w:pPr>
      <w:r>
        <w:rPr>
          <w:rFonts w:hint="eastAsia" w:ascii="宋体" w:hAnsi="宋体"/>
          <w:szCs w:val="21"/>
        </w:rPr>
        <w:t>托管人声明：招商银行具备完善的公司治理结构、内部稽核监控制度和风险控制制度，我行在本产品托管的过程中，严格遵守有关法律法规、托管协议的规定，尽职尽责地履行托管义务并安全保管托管资产。</w:t>
      </w:r>
    </w:p>
    <w:p>
      <w:pPr>
        <w:pStyle w:val="40"/>
      </w:pPr>
      <w:r>
        <w:rPr>
          <w:rFonts w:hint="eastAsia"/>
          <w:lang w:val="en-US"/>
        </w:rPr>
        <w:t>关联交易情况说明</w:t>
      </w:r>
    </w:p>
    <w:p>
      <w:pPr>
        <w:ind w:firstLine="420" w:firstLineChars="200"/>
        <w:jc w:val="left"/>
        <w:rPr>
          <w:rFonts w:asciiTheme="minorEastAsia" w:hAnsiTheme="minorEastAsia" w:eastAsiaTheme="minorEastAsia"/>
          <w:szCs w:val="21"/>
          <w:highlight w:val="none"/>
        </w:rPr>
      </w:pPr>
      <w:r>
        <w:rPr>
          <w:rFonts w:hint="eastAsia" w:asciiTheme="minorEastAsia" w:hAnsiTheme="minorEastAsia" w:eastAsiaTheme="minorEastAsia"/>
          <w:szCs w:val="21"/>
          <w:highlight w:val="none"/>
          <w:lang w:val="en-US" w:eastAsia="zh-CN"/>
        </w:rPr>
        <w:t>无</w:t>
      </w:r>
      <w:r>
        <w:rPr>
          <w:rFonts w:hint="eastAsia" w:asciiTheme="minorEastAsia" w:hAnsiTheme="minorEastAsia" w:eastAsiaTheme="minorEastAsia"/>
          <w:szCs w:val="21"/>
          <w:highlight w:val="none"/>
        </w:rPr>
        <w:t>。</w:t>
      </w:r>
    </w:p>
    <w:p>
      <w:pPr>
        <w:jc w:val="left"/>
        <w:rPr>
          <w:rFonts w:asciiTheme="minorEastAsia" w:hAnsiTheme="minorEastAsia" w:eastAsiaTheme="minorEastAsia"/>
          <w:szCs w:val="21"/>
        </w:rPr>
      </w:pPr>
    </w:p>
    <w:p>
      <w:pPr>
        <w:jc w:val="right"/>
        <w:rPr>
          <w:rFonts w:ascii="宋体" w:hAnsi="宋体"/>
          <w:sz w:val="24"/>
        </w:rPr>
      </w:pPr>
      <w:bookmarkStart w:id="5" w:name="_GoBack"/>
      <w:bookmarkEnd w:id="5"/>
    </w:p>
    <w:p>
      <w:pPr>
        <w:jc w:val="right"/>
        <w:rPr>
          <w:rFonts w:ascii="宋体" w:hAnsi="宋体"/>
          <w:sz w:val="28"/>
          <w:szCs w:val="28"/>
        </w:rPr>
      </w:pPr>
      <w:r>
        <w:rPr>
          <w:rFonts w:ascii="宋体" w:hAnsi="宋体"/>
          <w:sz w:val="28"/>
          <w:szCs w:val="28"/>
        </w:rPr>
        <w:t>四川银行股份有限公司</w:t>
      </w:r>
    </w:p>
    <w:p>
      <w:pPr>
        <w:jc w:val="right"/>
        <w:rPr>
          <w:rFonts w:ascii="宋体" w:hAnsi="宋体"/>
          <w:sz w:val="28"/>
          <w:szCs w:val="28"/>
        </w:rPr>
      </w:pPr>
      <w:r>
        <w:rPr>
          <w:rFonts w:ascii="宋体" w:hAnsi="宋体"/>
          <w:sz w:val="28"/>
          <w:szCs w:val="28"/>
        </w:rPr>
        <w:t>2025-04-15</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Borders>
        <w:top w:val="none" w:sz="0" w:space="0"/>
        <w:left w:val="none" w:sz="0" w:space="0"/>
        <w:bottom w:val="none" w:sz="0" w:space="0"/>
        <w:right w:val="none" w:sz="0" w:space="0"/>
      </w:pgBorders>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Fonts w:hint="eastAsia"/>
      </w:rPr>
      <w:t xml:space="preserve"> </w:t>
    </w:r>
  </w:p>
  <w:p>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02D671DD"/>
    <w:rsid w:val="169C1B71"/>
    <w:rsid w:val="1DD13355"/>
    <w:rsid w:val="1F246194"/>
    <w:rsid w:val="21AF23DE"/>
    <w:rsid w:val="250932D9"/>
    <w:rsid w:val="30D863E3"/>
    <w:rsid w:val="35706056"/>
    <w:rsid w:val="35844C1F"/>
    <w:rsid w:val="378A66D0"/>
    <w:rsid w:val="46050EA9"/>
    <w:rsid w:val="49D862C5"/>
    <w:rsid w:val="4B474E5A"/>
    <w:rsid w:val="51E06E0A"/>
    <w:rsid w:val="53167101"/>
    <w:rsid w:val="5B5FA6DC"/>
    <w:rsid w:val="63BE4DA7"/>
    <w:rsid w:val="66CE6E01"/>
    <w:rsid w:val="6CB6511A"/>
    <w:rsid w:val="72A65BBE"/>
  </w:rsids>
  <m:mathPr>
    <m:mathFont m:val="Cambria Math"/>
    <m:brkBin m:val="before"/>
    <m:brkBinSub m:val="--"/>
    <m:smallFrac m:val="0"/>
    <m:dispDef m:val="0"/>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Char"/>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Char"/>
    <w:link w:val="12"/>
    <w:qFormat/>
    <w:uiPriority w:val="0"/>
    <w:rPr>
      <w:rFonts w:ascii="Cambria" w:hAnsi="Cambria" w:eastAsia="宋体" w:cs="Times New Roman"/>
      <w:b/>
      <w:kern w:val="28"/>
      <w:sz w:val="24"/>
      <w:szCs w:val="32"/>
    </w:rPr>
  </w:style>
  <w:style w:type="character" w:customStyle="1" w:styleId="26">
    <w:name w:val="标题 1 Char"/>
    <w:link w:val="2"/>
    <w:qFormat/>
    <w:uiPriority w:val="9"/>
    <w:rPr>
      <w:b/>
      <w:bCs/>
      <w:kern w:val="44"/>
      <w:sz w:val="44"/>
      <w:szCs w:val="44"/>
    </w:rPr>
  </w:style>
  <w:style w:type="character" w:customStyle="1" w:styleId="27">
    <w:name w:val="标题 2 Char"/>
    <w:link w:val="3"/>
    <w:qFormat/>
    <w:uiPriority w:val="9"/>
    <w:rPr>
      <w:rFonts w:ascii="Cambria" w:hAnsi="Cambria" w:eastAsia="宋体" w:cs="Times New Roman"/>
      <w:b/>
      <w:bCs/>
      <w:sz w:val="32"/>
      <w:szCs w:val="32"/>
    </w:rPr>
  </w:style>
  <w:style w:type="character" w:customStyle="1" w:styleId="28">
    <w:name w:val="标题 Char"/>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Char"/>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qFormat/>
    <w:uiPriority w:val="0"/>
    <w:rPr>
      <w:kern w:val="2"/>
      <w:sz w:val="18"/>
      <w:szCs w:val="18"/>
    </w:rPr>
  </w:style>
  <w:style w:type="character" w:customStyle="1" w:styleId="48">
    <w:name w:val="日期 Char"/>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xbrltitle2"/>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Lenovo</Company>
  <Pages>5</Pages>
  <Words>314</Words>
  <Characters>1794</Characters>
  <Lines>14</Lines>
  <Paragraphs>4</Paragraphs>
  <TotalTime>190</TotalTime>
  <ScaleCrop>false</ScaleCrop>
  <LinksUpToDate>false</LinksUpToDate>
  <CharactersWithSpaces>2104</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2021-04-23T15:42:00Z</dcterms:created>
  <dc:creator>yss</dc:creator>
  <cp:lastModifiedBy>01142875</cp:lastModifiedBy>
  <cp:lastPrinted>2411-12-31T00:00:00Z</cp:lastPrinted>
  <dcterms:modified xsi:type="dcterms:W3CDTF">2025-04-07T02:03:36Z</dcterms:modified>
  <dc:title>gongGaoMingCheng</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Generator">
    <vt:lpwstr>NPOI</vt:lpwstr>
  </property>
  <property fmtid="{D5CDD505-2E9C-101B-9397-08002B2CF9AE}" pid="4" name="Generator Version">
    <vt:lpwstr>2.2.1</vt:lpwstr>
  </property>
  <property fmtid="{D5CDD505-2E9C-101B-9397-08002B2CF9AE}" pid="5" name="ICV">
    <vt:lpwstr>CF8537D5131846C3BE3005CE615F3BD9</vt:lpwstr>
  </property>
</Properties>
</file>